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7FC09" w14:textId="1DE7A57B" w:rsidR="007A533B" w:rsidRDefault="00AD3C77" w:rsidP="00E729B1">
      <w:pPr>
        <w:suppressAutoHyphens/>
      </w:pPr>
      <w:r>
        <w:t xml:space="preserve"> </w:t>
      </w:r>
      <w:r w:rsidR="00F45242">
        <w:rPr>
          <w:noProof/>
          <w:lang w:eastAsia="en-US"/>
        </w:rPr>
        <w:drawing>
          <wp:inline distT="0" distB="0" distL="0" distR="0" wp14:anchorId="512E8D9B" wp14:editId="345820FD">
            <wp:extent cx="2252345" cy="660400"/>
            <wp:effectExtent l="0" t="0" r="8255" b="0"/>
            <wp:docPr id="1" name="Picture 1" descr="NORITZHigh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ITZHighRe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2345" cy="660400"/>
                    </a:xfrm>
                    <a:prstGeom prst="rect">
                      <a:avLst/>
                    </a:prstGeom>
                    <a:noFill/>
                    <a:ln>
                      <a:noFill/>
                    </a:ln>
                  </pic:spPr>
                </pic:pic>
              </a:graphicData>
            </a:graphic>
          </wp:inline>
        </w:drawing>
      </w:r>
    </w:p>
    <w:p w14:paraId="6B8CD68F" w14:textId="2DFD4643" w:rsidR="007A533B" w:rsidRDefault="007A533B" w:rsidP="00E729B1">
      <w:pPr>
        <w:tabs>
          <w:tab w:val="left" w:pos="6210"/>
        </w:tabs>
        <w:suppressAutoHyphens/>
        <w:spacing w:before="720"/>
      </w:pPr>
      <w:r w:rsidRPr="00221B43">
        <w:tab/>
      </w:r>
      <w:r w:rsidR="00E85A6A">
        <w:tab/>
      </w:r>
      <w:r w:rsidRPr="00D36F76">
        <w:rPr>
          <w:u w:val="single"/>
        </w:rPr>
        <w:t>CONTACT</w:t>
      </w:r>
      <w:r w:rsidRPr="001D5411">
        <w:t>:</w:t>
      </w:r>
    </w:p>
    <w:p w14:paraId="15101E5E" w14:textId="0A8867A8" w:rsidR="007A533B" w:rsidRDefault="007A533B" w:rsidP="00E729B1">
      <w:pPr>
        <w:tabs>
          <w:tab w:val="left" w:pos="6210"/>
        </w:tabs>
        <w:suppressAutoHyphens/>
        <w:spacing w:before="60"/>
      </w:pPr>
      <w:r>
        <w:tab/>
      </w:r>
      <w:r w:rsidR="00E85A6A">
        <w:tab/>
      </w:r>
      <w:r w:rsidR="005F3461">
        <w:t>Andrew Tran</w:t>
      </w:r>
    </w:p>
    <w:p w14:paraId="2669BDB6" w14:textId="560933B9" w:rsidR="007A533B" w:rsidRDefault="000371BE" w:rsidP="00E729B1">
      <w:pPr>
        <w:tabs>
          <w:tab w:val="left" w:pos="6210"/>
        </w:tabs>
        <w:suppressAutoHyphens/>
      </w:pPr>
      <w:r>
        <w:tab/>
      </w:r>
      <w:r w:rsidR="00E85A6A">
        <w:tab/>
      </w:r>
      <w:r>
        <w:t>Noritz America</w:t>
      </w:r>
    </w:p>
    <w:p w14:paraId="419FC67C" w14:textId="501917CE" w:rsidR="007A533B" w:rsidRDefault="007A533B" w:rsidP="00E729B1">
      <w:pPr>
        <w:tabs>
          <w:tab w:val="left" w:pos="6210"/>
        </w:tabs>
        <w:suppressAutoHyphens/>
      </w:pPr>
      <w:r>
        <w:tab/>
      </w:r>
      <w:r w:rsidR="00E85A6A">
        <w:tab/>
      </w:r>
      <w:r w:rsidRPr="00E678E0">
        <w:t>(714) 433-783</w:t>
      </w:r>
      <w:r>
        <w:t>1</w:t>
      </w:r>
    </w:p>
    <w:p w14:paraId="298E54F2" w14:textId="6DB31F10" w:rsidR="007A533B" w:rsidRDefault="007A533B" w:rsidP="00E729B1">
      <w:pPr>
        <w:tabs>
          <w:tab w:val="left" w:pos="6210"/>
        </w:tabs>
        <w:suppressAutoHyphens/>
      </w:pPr>
      <w:r>
        <w:tab/>
      </w:r>
      <w:r w:rsidR="00E85A6A">
        <w:tab/>
      </w:r>
      <w:hyperlink r:id="rId8" w:history="1">
        <w:r w:rsidR="00E85A6A" w:rsidRPr="004D7E06">
          <w:rPr>
            <w:rStyle w:val="Hyperlink"/>
          </w:rPr>
          <w:t>atran@noritz.com</w:t>
        </w:r>
      </w:hyperlink>
    </w:p>
    <w:p w14:paraId="545D8FD8" w14:textId="5C65EEC9" w:rsidR="007A533B" w:rsidRPr="001A56DD" w:rsidRDefault="007A533B" w:rsidP="00E729B1">
      <w:pPr>
        <w:suppressAutoHyphens/>
        <w:spacing w:before="360"/>
        <w:jc w:val="center"/>
        <w:rPr>
          <w:b/>
          <w:sz w:val="32"/>
        </w:rPr>
      </w:pPr>
      <w:r>
        <w:rPr>
          <w:b/>
          <w:sz w:val="32"/>
        </w:rPr>
        <w:t xml:space="preserve">Tankless </w:t>
      </w:r>
      <w:r w:rsidR="00601325">
        <w:rPr>
          <w:b/>
          <w:sz w:val="32"/>
        </w:rPr>
        <w:t>Water Heater</w:t>
      </w:r>
      <w:r w:rsidR="00CE4941">
        <w:rPr>
          <w:b/>
          <w:sz w:val="32"/>
        </w:rPr>
        <w:t>s</w:t>
      </w:r>
      <w:r w:rsidR="002D5D78">
        <w:rPr>
          <w:b/>
          <w:sz w:val="32"/>
        </w:rPr>
        <w:t xml:space="preserve"> Ensure Unfailing Hot Water Supply for </w:t>
      </w:r>
      <w:r w:rsidR="003634EE" w:rsidRPr="003634EE">
        <w:rPr>
          <w:b/>
          <w:sz w:val="32"/>
        </w:rPr>
        <w:t>Oahu Community Correctional Center</w:t>
      </w:r>
    </w:p>
    <w:p w14:paraId="246439B2" w14:textId="77777777" w:rsidR="007A533B" w:rsidRPr="006B5D97" w:rsidRDefault="007A533B" w:rsidP="00E729B1">
      <w:pPr>
        <w:suppressAutoHyphens/>
        <w:jc w:val="center"/>
        <w:rPr>
          <w:b/>
        </w:rPr>
      </w:pPr>
      <w:r w:rsidRPr="006B5D97">
        <w:rPr>
          <w:b/>
        </w:rPr>
        <w:t>--------------------------------</w:t>
      </w:r>
      <w:r>
        <w:rPr>
          <w:b/>
        </w:rPr>
        <w:t>----</w:t>
      </w:r>
      <w:r w:rsidRPr="006B5D97">
        <w:rPr>
          <w:b/>
        </w:rPr>
        <w:t>----------</w:t>
      </w:r>
      <w:r>
        <w:rPr>
          <w:b/>
        </w:rPr>
        <w:t>-</w:t>
      </w:r>
      <w:r w:rsidRPr="006B5D97">
        <w:rPr>
          <w:b/>
        </w:rPr>
        <w:t>------------------------------</w:t>
      </w:r>
      <w:r>
        <w:rPr>
          <w:b/>
        </w:rPr>
        <w:t>-------------------------------</w:t>
      </w:r>
    </w:p>
    <w:p w14:paraId="090E1F68" w14:textId="2889288B" w:rsidR="00624B37" w:rsidRDefault="00D61BE7" w:rsidP="00E729B1">
      <w:pPr>
        <w:suppressAutoHyphens/>
        <w:ind w:right="-86"/>
        <w:jc w:val="center"/>
        <w:rPr>
          <w:b/>
          <w:color w:val="595959"/>
        </w:rPr>
      </w:pPr>
      <w:r>
        <w:rPr>
          <w:b/>
          <w:color w:val="595959"/>
        </w:rPr>
        <w:t xml:space="preserve">After replacing </w:t>
      </w:r>
      <w:r w:rsidR="00757118">
        <w:rPr>
          <w:b/>
          <w:color w:val="595959"/>
        </w:rPr>
        <w:t>aging</w:t>
      </w:r>
      <w:r>
        <w:rPr>
          <w:b/>
          <w:color w:val="595959"/>
        </w:rPr>
        <w:t xml:space="preserve"> boilers with </w:t>
      </w:r>
      <w:r w:rsidR="00367C3D">
        <w:rPr>
          <w:b/>
          <w:color w:val="595959"/>
        </w:rPr>
        <w:t xml:space="preserve">multiple </w:t>
      </w:r>
      <w:r>
        <w:rPr>
          <w:b/>
          <w:color w:val="595959"/>
        </w:rPr>
        <w:t xml:space="preserve">Noritz tankless water heaters, </w:t>
      </w:r>
    </w:p>
    <w:p w14:paraId="34062E8B" w14:textId="38F6A219" w:rsidR="007A533B" w:rsidRPr="00367C3D" w:rsidRDefault="00211802" w:rsidP="00E729B1">
      <w:pPr>
        <w:suppressAutoHyphens/>
        <w:ind w:right="-86"/>
        <w:jc w:val="center"/>
        <w:rPr>
          <w:b/>
          <w:color w:val="595959"/>
        </w:rPr>
      </w:pPr>
      <w:r>
        <w:rPr>
          <w:b/>
          <w:color w:val="595959"/>
        </w:rPr>
        <w:t xml:space="preserve">administrators at </w:t>
      </w:r>
      <w:r w:rsidR="00624B37">
        <w:rPr>
          <w:b/>
          <w:color w:val="595959"/>
        </w:rPr>
        <w:t xml:space="preserve">Hawaii’s </w:t>
      </w:r>
      <w:r w:rsidR="00624B37" w:rsidRPr="00624B37">
        <w:rPr>
          <w:b/>
          <w:color w:val="595959"/>
        </w:rPr>
        <w:t xml:space="preserve">Oahu Community Correctional Center </w:t>
      </w:r>
      <w:r w:rsidR="00A0698A">
        <w:rPr>
          <w:b/>
          <w:color w:val="595959"/>
        </w:rPr>
        <w:t xml:space="preserve">were able to </w:t>
      </w:r>
      <w:r w:rsidR="00E729B1">
        <w:rPr>
          <w:b/>
          <w:color w:val="595959"/>
        </w:rPr>
        <w:t xml:space="preserve">safeguard </w:t>
      </w:r>
      <w:r w:rsidR="00367C3D">
        <w:rPr>
          <w:b/>
          <w:color w:val="595959"/>
        </w:rPr>
        <w:t xml:space="preserve">reliable hot water </w:t>
      </w:r>
      <w:r w:rsidR="00E729B1">
        <w:rPr>
          <w:b/>
          <w:color w:val="595959"/>
        </w:rPr>
        <w:t xml:space="preserve">supplies </w:t>
      </w:r>
      <w:r w:rsidR="00367C3D">
        <w:rPr>
          <w:b/>
          <w:color w:val="595959"/>
        </w:rPr>
        <w:t xml:space="preserve">for </w:t>
      </w:r>
      <w:r w:rsidR="00D61BE7">
        <w:rPr>
          <w:b/>
          <w:color w:val="595959"/>
        </w:rPr>
        <w:t xml:space="preserve">its </w:t>
      </w:r>
      <w:r w:rsidR="00624B37">
        <w:rPr>
          <w:b/>
          <w:color w:val="595959"/>
        </w:rPr>
        <w:t>1,200</w:t>
      </w:r>
      <w:r w:rsidR="00D61BE7">
        <w:rPr>
          <w:b/>
          <w:color w:val="595959"/>
        </w:rPr>
        <w:t xml:space="preserve"> inmates</w:t>
      </w:r>
      <w:r w:rsidR="00367C3D">
        <w:rPr>
          <w:b/>
          <w:color w:val="595959"/>
        </w:rPr>
        <w:t>.</w:t>
      </w:r>
    </w:p>
    <w:p w14:paraId="168A22D1" w14:textId="77777777" w:rsidR="00491C2A" w:rsidRDefault="00491C2A" w:rsidP="00E729B1">
      <w:pPr>
        <w:suppressAutoHyphens/>
        <w:ind w:right="-86"/>
        <w:rPr>
          <w:noProof/>
          <w:lang w:eastAsia="en-US"/>
        </w:rPr>
      </w:pPr>
    </w:p>
    <w:p w14:paraId="35EC735B" w14:textId="217E87A8" w:rsidR="00491C2A" w:rsidRPr="00D22F2E" w:rsidRDefault="00491C2A">
      <w:pPr>
        <w:suppressAutoHyphens/>
        <w:ind w:right="-86"/>
        <w:rPr>
          <w:color w:val="000000" w:themeColor="text1"/>
          <w:sz w:val="22"/>
          <w:szCs w:val="22"/>
          <w:lang w:eastAsia="en-US"/>
        </w:rPr>
      </w:pPr>
      <w:r w:rsidRPr="00D22F2E">
        <w:rPr>
          <w:noProof/>
          <w:color w:val="000000" w:themeColor="text1"/>
          <w:sz w:val="22"/>
          <w:szCs w:val="22"/>
          <w:lang w:eastAsia="en-US"/>
        </w:rPr>
        <w:t>BY JA</w:t>
      </w:r>
      <w:r w:rsidR="2D0EE7D6" w:rsidRPr="00D22F2E">
        <w:rPr>
          <w:noProof/>
          <w:color w:val="000000" w:themeColor="text1"/>
          <w:sz w:val="22"/>
          <w:szCs w:val="22"/>
          <w:lang w:eastAsia="en-US"/>
        </w:rPr>
        <w:t>MES FACER</w:t>
      </w:r>
    </w:p>
    <w:p w14:paraId="003E2C3B" w14:textId="0DE06647" w:rsidR="00624B37" w:rsidRPr="00D22F2E" w:rsidRDefault="003634EE" w:rsidP="00E729B1">
      <w:pPr>
        <w:suppressAutoHyphens/>
        <w:spacing w:before="240" w:line="276" w:lineRule="auto"/>
        <w:rPr>
          <w:color w:val="000000" w:themeColor="text1"/>
        </w:rPr>
      </w:pPr>
      <w:r w:rsidRPr="00D22F2E">
        <w:rPr>
          <w:caps/>
          <w:noProof/>
          <w:color w:val="000000" w:themeColor="text1"/>
          <w:sz w:val="20"/>
          <w:szCs w:val="20"/>
          <w:lang w:eastAsia="en-US"/>
        </w:rPr>
        <w:t>Honolulu, Hawaii</w:t>
      </w:r>
      <w:r w:rsidR="003726CE" w:rsidRPr="00D22F2E">
        <w:rPr>
          <w:caps/>
          <w:noProof/>
          <w:color w:val="000000" w:themeColor="text1"/>
          <w:sz w:val="20"/>
          <w:szCs w:val="20"/>
          <w:lang w:eastAsia="en-US"/>
        </w:rPr>
        <w:t xml:space="preserve"> </w:t>
      </w:r>
      <w:r w:rsidR="007A533B" w:rsidRPr="00D22F2E">
        <w:rPr>
          <w:color w:val="000000" w:themeColor="text1"/>
        </w:rPr>
        <w:t>—</w:t>
      </w:r>
      <w:r w:rsidR="003726CE" w:rsidRPr="00D22F2E">
        <w:rPr>
          <w:color w:val="000000" w:themeColor="text1"/>
        </w:rPr>
        <w:t xml:space="preserve"> </w:t>
      </w:r>
      <w:r w:rsidR="00624B37" w:rsidRPr="00D22F2E">
        <w:rPr>
          <w:color w:val="000000" w:themeColor="text1"/>
        </w:rPr>
        <w:t xml:space="preserve">A continuous and reliable source of hot water is </w:t>
      </w:r>
      <w:r w:rsidR="009C2AF5" w:rsidRPr="00D22F2E">
        <w:rPr>
          <w:color w:val="000000" w:themeColor="text1"/>
        </w:rPr>
        <w:t xml:space="preserve">a modern necessity, especially </w:t>
      </w:r>
      <w:r w:rsidR="00624B37" w:rsidRPr="00D22F2E">
        <w:rPr>
          <w:color w:val="000000" w:themeColor="text1"/>
        </w:rPr>
        <w:t xml:space="preserve">for </w:t>
      </w:r>
      <w:r w:rsidR="009C2AF5" w:rsidRPr="00D22F2E">
        <w:rPr>
          <w:color w:val="000000" w:themeColor="text1"/>
        </w:rPr>
        <w:t xml:space="preserve">certain commercial </w:t>
      </w:r>
      <w:r w:rsidR="00E729B1" w:rsidRPr="00D22F2E">
        <w:rPr>
          <w:color w:val="000000" w:themeColor="text1"/>
        </w:rPr>
        <w:t>installations</w:t>
      </w:r>
      <w:r w:rsidR="00624B37" w:rsidRPr="00D22F2E">
        <w:rPr>
          <w:color w:val="000000" w:themeColor="text1"/>
        </w:rPr>
        <w:t xml:space="preserve"> such as </w:t>
      </w:r>
      <w:r w:rsidR="009C2AF5" w:rsidRPr="00D22F2E">
        <w:rPr>
          <w:color w:val="000000" w:themeColor="text1"/>
        </w:rPr>
        <w:t>restaurants</w:t>
      </w:r>
      <w:r w:rsidR="00624B37" w:rsidRPr="00D22F2E">
        <w:rPr>
          <w:color w:val="000000" w:themeColor="text1"/>
        </w:rPr>
        <w:t xml:space="preserve">, </w:t>
      </w:r>
      <w:r w:rsidR="009C2AF5" w:rsidRPr="00D22F2E">
        <w:rPr>
          <w:color w:val="000000" w:themeColor="text1"/>
        </w:rPr>
        <w:t>hospitals</w:t>
      </w:r>
      <w:r w:rsidR="00624B37" w:rsidRPr="00D22F2E">
        <w:rPr>
          <w:color w:val="000000" w:themeColor="text1"/>
        </w:rPr>
        <w:t>, laundries and some manufacturing operations.</w:t>
      </w:r>
    </w:p>
    <w:p w14:paraId="01EA8E0E" w14:textId="5C92DBF5" w:rsidR="00D422E6" w:rsidRPr="00D22F2E" w:rsidRDefault="00A415DE" w:rsidP="00E729B1">
      <w:pPr>
        <w:suppressAutoHyphens/>
        <w:spacing w:before="240" w:line="276" w:lineRule="auto"/>
        <w:rPr>
          <w:color w:val="000000" w:themeColor="text1"/>
        </w:rPr>
      </w:pPr>
      <w:r w:rsidRPr="00D22F2E">
        <w:rPr>
          <w:color w:val="000000" w:themeColor="text1"/>
        </w:rPr>
        <w:t>A</w:t>
      </w:r>
      <w:r w:rsidR="00624B37" w:rsidRPr="00D22F2E">
        <w:rPr>
          <w:color w:val="000000" w:themeColor="text1"/>
        </w:rPr>
        <w:t>nother application that require</w:t>
      </w:r>
      <w:r w:rsidRPr="00D22F2E">
        <w:rPr>
          <w:color w:val="000000" w:themeColor="text1"/>
        </w:rPr>
        <w:t>s</w:t>
      </w:r>
      <w:r w:rsidR="00624B37" w:rsidRPr="00D22F2E">
        <w:rPr>
          <w:color w:val="000000" w:themeColor="text1"/>
        </w:rPr>
        <w:t xml:space="preserve"> a reliable hot water supply </w:t>
      </w:r>
      <w:r w:rsidRPr="00D22F2E">
        <w:rPr>
          <w:color w:val="000000" w:themeColor="text1"/>
        </w:rPr>
        <w:t xml:space="preserve">are </w:t>
      </w:r>
      <w:r w:rsidR="00D4446C">
        <w:rPr>
          <w:color w:val="000000" w:themeColor="text1"/>
        </w:rPr>
        <w:t>correctional facilities</w:t>
      </w:r>
      <w:r w:rsidRPr="00D22F2E">
        <w:rPr>
          <w:color w:val="000000" w:themeColor="text1"/>
        </w:rPr>
        <w:t xml:space="preserve">, which have </w:t>
      </w:r>
      <w:r w:rsidR="00D422E6" w:rsidRPr="00D22F2E">
        <w:rPr>
          <w:color w:val="000000" w:themeColor="text1"/>
        </w:rPr>
        <w:t>cooking</w:t>
      </w:r>
      <w:r w:rsidR="00624B37" w:rsidRPr="00D22F2E">
        <w:rPr>
          <w:color w:val="000000" w:themeColor="text1"/>
        </w:rPr>
        <w:t xml:space="preserve"> and laundry </w:t>
      </w:r>
      <w:r w:rsidRPr="00D22F2E">
        <w:rPr>
          <w:color w:val="000000" w:themeColor="text1"/>
        </w:rPr>
        <w:t>operations</w:t>
      </w:r>
      <w:r w:rsidR="00E729B1" w:rsidRPr="00D22F2E">
        <w:rPr>
          <w:color w:val="000000" w:themeColor="text1"/>
        </w:rPr>
        <w:t>,</w:t>
      </w:r>
      <w:r w:rsidR="00624B37" w:rsidRPr="00D22F2E">
        <w:rPr>
          <w:color w:val="000000" w:themeColor="text1"/>
        </w:rPr>
        <w:t xml:space="preserve"> as well as inmate </w:t>
      </w:r>
      <w:r w:rsidRPr="00D22F2E">
        <w:rPr>
          <w:color w:val="000000" w:themeColor="text1"/>
        </w:rPr>
        <w:t xml:space="preserve">hygiene </w:t>
      </w:r>
      <w:r w:rsidR="00624B37" w:rsidRPr="00D22F2E">
        <w:rPr>
          <w:color w:val="000000" w:themeColor="text1"/>
        </w:rPr>
        <w:t>use</w:t>
      </w:r>
      <w:r w:rsidR="00D422E6" w:rsidRPr="00D22F2E">
        <w:rPr>
          <w:color w:val="000000" w:themeColor="text1"/>
        </w:rPr>
        <w:t xml:space="preserve">. </w:t>
      </w:r>
      <w:r w:rsidR="00624B37" w:rsidRPr="00D22F2E">
        <w:rPr>
          <w:color w:val="000000" w:themeColor="text1"/>
        </w:rPr>
        <w:t>Officials at the Oahu Community Correctional Center (OCCC) in suburban Honolulu</w:t>
      </w:r>
      <w:r w:rsidR="00367C3D" w:rsidRPr="00D22F2E">
        <w:rPr>
          <w:color w:val="000000" w:themeColor="text1"/>
        </w:rPr>
        <w:t>,</w:t>
      </w:r>
      <w:r w:rsidR="00D422E6" w:rsidRPr="00D22F2E">
        <w:rPr>
          <w:color w:val="000000" w:themeColor="text1"/>
        </w:rPr>
        <w:t xml:space="preserve"> </w:t>
      </w:r>
      <w:r w:rsidR="00624B37" w:rsidRPr="00D22F2E">
        <w:rPr>
          <w:color w:val="000000" w:themeColor="text1"/>
        </w:rPr>
        <w:t>realized</w:t>
      </w:r>
      <w:r w:rsidR="00D422E6" w:rsidRPr="00D22F2E">
        <w:rPr>
          <w:color w:val="000000" w:themeColor="text1"/>
        </w:rPr>
        <w:t xml:space="preserve"> this firsthand when </w:t>
      </w:r>
      <w:r w:rsidR="00624B37" w:rsidRPr="00D22F2E">
        <w:rPr>
          <w:color w:val="000000" w:themeColor="text1"/>
        </w:rPr>
        <w:t xml:space="preserve">two </w:t>
      </w:r>
      <w:r w:rsidR="00624B37" w:rsidRPr="00D22F2E">
        <w:rPr>
          <w:rFonts w:eastAsia="Times New Roman"/>
          <w:color w:val="000000" w:themeColor="text1"/>
        </w:rPr>
        <w:t xml:space="preserve">23-year-old </w:t>
      </w:r>
      <w:r w:rsidR="0D90351C" w:rsidRPr="00D22F2E">
        <w:rPr>
          <w:rFonts w:eastAsia="Times New Roman"/>
          <w:color w:val="000000" w:themeColor="text1"/>
        </w:rPr>
        <w:t>1,000</w:t>
      </w:r>
      <w:r w:rsidR="00E729B1" w:rsidRPr="00D22F2E">
        <w:rPr>
          <w:rFonts w:eastAsia="Times New Roman"/>
          <w:color w:val="000000" w:themeColor="text1"/>
        </w:rPr>
        <w:t>,000</w:t>
      </w:r>
      <w:r w:rsidR="003535D1" w:rsidRPr="00D22F2E">
        <w:rPr>
          <w:rFonts w:eastAsia="Times New Roman"/>
          <w:color w:val="000000" w:themeColor="text1"/>
        </w:rPr>
        <w:t xml:space="preserve"> </w:t>
      </w:r>
      <w:r w:rsidR="00624B37" w:rsidRPr="00D22F2E">
        <w:rPr>
          <w:rFonts w:eastAsia="Times New Roman"/>
          <w:color w:val="000000" w:themeColor="text1"/>
        </w:rPr>
        <w:t>B</w:t>
      </w:r>
      <w:r w:rsidR="00CD654E" w:rsidRPr="00D22F2E">
        <w:rPr>
          <w:rFonts w:eastAsia="Times New Roman"/>
          <w:color w:val="000000" w:themeColor="text1"/>
        </w:rPr>
        <w:t>TU</w:t>
      </w:r>
      <w:r w:rsidR="00624B37" w:rsidRPr="00D22F2E">
        <w:rPr>
          <w:rFonts w:eastAsia="Times New Roman"/>
          <w:color w:val="000000" w:themeColor="text1"/>
        </w:rPr>
        <w:t xml:space="preserve"> boilers and two 500-gallon storage tanks reached a breaking point</w:t>
      </w:r>
      <w:r w:rsidR="00E729B1" w:rsidRPr="00D22F2E">
        <w:rPr>
          <w:rFonts w:eastAsia="Times New Roman"/>
          <w:color w:val="000000" w:themeColor="text1"/>
        </w:rPr>
        <w:t>, jeopardizing operations</w:t>
      </w:r>
      <w:r w:rsidR="00624B37" w:rsidRPr="00D22F2E">
        <w:rPr>
          <w:rFonts w:eastAsia="Times New Roman"/>
          <w:color w:val="000000" w:themeColor="text1"/>
        </w:rPr>
        <w:t>.</w:t>
      </w:r>
    </w:p>
    <w:p w14:paraId="41AD6D60" w14:textId="13B75A52" w:rsidR="00624B37" w:rsidRPr="00D22F2E" w:rsidRDefault="00624B37" w:rsidP="00E729B1">
      <w:pPr>
        <w:suppressAutoHyphens/>
        <w:spacing w:before="240" w:line="276" w:lineRule="auto"/>
        <w:rPr>
          <w:color w:val="000000" w:themeColor="text1"/>
        </w:rPr>
      </w:pPr>
      <w:r w:rsidRPr="00D22F2E">
        <w:rPr>
          <w:color w:val="000000" w:themeColor="text1"/>
        </w:rPr>
        <w:t xml:space="preserve">“The last thing we want is to endanger staff safety because </w:t>
      </w:r>
      <w:r w:rsidR="00973E0E" w:rsidRPr="00D22F2E">
        <w:rPr>
          <w:color w:val="000000" w:themeColor="text1"/>
        </w:rPr>
        <w:t>the facility does no</w:t>
      </w:r>
      <w:r w:rsidRPr="00D22F2E">
        <w:rPr>
          <w:color w:val="000000" w:themeColor="text1"/>
        </w:rPr>
        <w:t xml:space="preserve">t have sufficient hot water,” warns </w:t>
      </w:r>
      <w:r w:rsidRPr="00D22F2E">
        <w:rPr>
          <w:rFonts w:eastAsia="Times New Roman"/>
          <w:color w:val="000000" w:themeColor="text1"/>
          <w:u w:val="single"/>
        </w:rPr>
        <w:t xml:space="preserve">Terry </w:t>
      </w:r>
      <w:proofErr w:type="spellStart"/>
      <w:r w:rsidRPr="00D22F2E">
        <w:rPr>
          <w:rFonts w:eastAsia="Times New Roman"/>
          <w:color w:val="000000" w:themeColor="text1"/>
          <w:u w:val="single"/>
        </w:rPr>
        <w:t>Visperas</w:t>
      </w:r>
      <w:proofErr w:type="spellEnd"/>
      <w:r w:rsidRPr="00D22F2E">
        <w:rPr>
          <w:rFonts w:eastAsia="Times New Roman"/>
          <w:color w:val="000000" w:themeColor="text1"/>
        </w:rPr>
        <w:t xml:space="preserve">, program specialist with the </w:t>
      </w:r>
      <w:r w:rsidR="00367C3D" w:rsidRPr="00D22F2E">
        <w:rPr>
          <w:rFonts w:eastAsia="Times New Roman"/>
          <w:color w:val="000000" w:themeColor="text1"/>
        </w:rPr>
        <w:t xml:space="preserve">Hawaii </w:t>
      </w:r>
      <w:r w:rsidR="00973E0E" w:rsidRPr="00D22F2E">
        <w:rPr>
          <w:rFonts w:eastAsia="Times New Roman"/>
          <w:color w:val="000000" w:themeColor="text1"/>
        </w:rPr>
        <w:t>D</w:t>
      </w:r>
      <w:r w:rsidRPr="00D22F2E">
        <w:rPr>
          <w:rFonts w:eastAsia="Times New Roman"/>
          <w:color w:val="000000" w:themeColor="text1"/>
        </w:rPr>
        <w:t xml:space="preserve">epartment of </w:t>
      </w:r>
      <w:r w:rsidR="00973E0E" w:rsidRPr="00D22F2E">
        <w:rPr>
          <w:rFonts w:eastAsia="Times New Roman"/>
          <w:color w:val="000000" w:themeColor="text1"/>
        </w:rPr>
        <w:t>P</w:t>
      </w:r>
      <w:r w:rsidRPr="00D22F2E">
        <w:rPr>
          <w:rFonts w:eastAsia="Times New Roman"/>
          <w:color w:val="000000" w:themeColor="text1"/>
        </w:rPr>
        <w:t xml:space="preserve">ublic </w:t>
      </w:r>
      <w:r w:rsidR="00973E0E" w:rsidRPr="00D22F2E">
        <w:rPr>
          <w:rFonts w:eastAsia="Times New Roman"/>
          <w:color w:val="000000" w:themeColor="text1"/>
        </w:rPr>
        <w:t>S</w:t>
      </w:r>
      <w:r w:rsidRPr="00D22F2E">
        <w:rPr>
          <w:rFonts w:eastAsia="Times New Roman"/>
          <w:color w:val="000000" w:themeColor="text1"/>
        </w:rPr>
        <w:t xml:space="preserve">afety. </w:t>
      </w:r>
      <w:r w:rsidRPr="00D22F2E">
        <w:rPr>
          <w:color w:val="000000" w:themeColor="text1"/>
        </w:rPr>
        <w:t xml:space="preserve">This </w:t>
      </w:r>
      <w:r w:rsidR="00E729B1" w:rsidRPr="00D22F2E">
        <w:rPr>
          <w:color w:val="000000" w:themeColor="text1"/>
        </w:rPr>
        <w:t xml:space="preserve">critical </w:t>
      </w:r>
      <w:r w:rsidRPr="00D22F2E">
        <w:rPr>
          <w:color w:val="000000" w:themeColor="text1"/>
        </w:rPr>
        <w:t xml:space="preserve">need prompted </w:t>
      </w:r>
      <w:proofErr w:type="spellStart"/>
      <w:r w:rsidRPr="00D22F2E">
        <w:rPr>
          <w:color w:val="000000" w:themeColor="text1"/>
        </w:rPr>
        <w:t>Visperas</w:t>
      </w:r>
      <w:proofErr w:type="spellEnd"/>
      <w:r w:rsidRPr="00D22F2E">
        <w:rPr>
          <w:color w:val="000000" w:themeColor="text1"/>
        </w:rPr>
        <w:t xml:space="preserve"> to work with facility maintenance staff and the state’s gas utility</w:t>
      </w:r>
      <w:r w:rsidR="00367C3D" w:rsidRPr="00D22F2E">
        <w:rPr>
          <w:color w:val="000000" w:themeColor="text1"/>
        </w:rPr>
        <w:t>, Hawaii Gas,</w:t>
      </w:r>
      <w:r w:rsidRPr="00D22F2E">
        <w:rPr>
          <w:color w:val="000000" w:themeColor="text1"/>
        </w:rPr>
        <w:t xml:space="preserve"> on a solution that became more urgent when the center’s second boiler </w:t>
      </w:r>
      <w:r w:rsidR="00E729B1" w:rsidRPr="00D22F2E">
        <w:rPr>
          <w:color w:val="000000" w:themeColor="text1"/>
        </w:rPr>
        <w:t>failed</w:t>
      </w:r>
      <w:r w:rsidRPr="00D22F2E">
        <w:rPr>
          <w:color w:val="000000" w:themeColor="text1"/>
        </w:rPr>
        <w:t xml:space="preserve">. </w:t>
      </w:r>
    </w:p>
    <w:p w14:paraId="597354A9" w14:textId="25885980" w:rsidR="00312CB4" w:rsidRPr="00D22F2E" w:rsidRDefault="00312CB4" w:rsidP="00E729B1">
      <w:pPr>
        <w:suppressAutoHyphens/>
        <w:spacing w:before="240" w:line="276" w:lineRule="auto"/>
        <w:rPr>
          <w:rFonts w:eastAsia="Times New Roman"/>
          <w:b/>
          <w:bCs/>
          <w:color w:val="000000" w:themeColor="text1"/>
          <w:sz w:val="26"/>
          <w:szCs w:val="26"/>
        </w:rPr>
      </w:pPr>
      <w:r w:rsidRPr="00D22F2E">
        <w:rPr>
          <w:rFonts w:eastAsia="Times New Roman"/>
          <w:b/>
          <w:bCs/>
          <w:color w:val="000000" w:themeColor="text1"/>
          <w:sz w:val="26"/>
          <w:szCs w:val="26"/>
        </w:rPr>
        <w:t>Public Health and Safety Issue</w:t>
      </w:r>
    </w:p>
    <w:p w14:paraId="71CD352C" w14:textId="090D1DE6" w:rsidR="00624B37" w:rsidRPr="00D22F2E" w:rsidRDefault="00624B37" w:rsidP="00E729B1">
      <w:pPr>
        <w:suppressAutoHyphens/>
        <w:spacing w:before="240" w:line="276" w:lineRule="auto"/>
        <w:rPr>
          <w:strike/>
          <w:color w:val="000000" w:themeColor="text1"/>
        </w:rPr>
      </w:pPr>
      <w:r w:rsidRPr="00D22F2E">
        <w:rPr>
          <w:rFonts w:eastAsia="Times New Roman"/>
          <w:color w:val="000000" w:themeColor="text1"/>
        </w:rPr>
        <w:t xml:space="preserve">“From a public health and safety </w:t>
      </w:r>
      <w:r w:rsidR="00367C3D" w:rsidRPr="00D22F2E">
        <w:rPr>
          <w:rFonts w:eastAsia="Times New Roman"/>
          <w:color w:val="000000" w:themeColor="text1"/>
        </w:rPr>
        <w:t>perspective</w:t>
      </w:r>
      <w:r w:rsidRPr="00D22F2E">
        <w:rPr>
          <w:rFonts w:eastAsia="Times New Roman"/>
          <w:color w:val="000000" w:themeColor="text1"/>
        </w:rPr>
        <w:t xml:space="preserve">, reliable hot water is </w:t>
      </w:r>
      <w:r w:rsidR="00367C3D" w:rsidRPr="00D22F2E">
        <w:rPr>
          <w:rFonts w:eastAsia="Times New Roman"/>
          <w:color w:val="000000" w:themeColor="text1"/>
        </w:rPr>
        <w:t xml:space="preserve">an essential component of this facility’s operation,” explains </w:t>
      </w:r>
      <w:proofErr w:type="spellStart"/>
      <w:r w:rsidR="00367C3D" w:rsidRPr="00D22F2E">
        <w:rPr>
          <w:rFonts w:eastAsia="Times New Roman"/>
          <w:color w:val="000000" w:themeColor="text1"/>
        </w:rPr>
        <w:t>Visperas</w:t>
      </w:r>
      <w:proofErr w:type="spellEnd"/>
      <w:r w:rsidR="00367C3D" w:rsidRPr="00D22F2E">
        <w:rPr>
          <w:rFonts w:eastAsia="Times New Roman"/>
          <w:color w:val="000000" w:themeColor="text1"/>
        </w:rPr>
        <w:t xml:space="preserve">, who specializes in </w:t>
      </w:r>
      <w:r w:rsidR="00A74261" w:rsidRPr="00D22F2E">
        <w:rPr>
          <w:rFonts w:eastAsia="Times New Roman"/>
          <w:color w:val="000000" w:themeColor="text1"/>
        </w:rPr>
        <w:t xml:space="preserve">researching and integrating </w:t>
      </w:r>
      <w:r w:rsidR="00367C3D" w:rsidRPr="00D22F2E">
        <w:rPr>
          <w:rFonts w:eastAsia="Times New Roman"/>
          <w:color w:val="000000" w:themeColor="text1"/>
        </w:rPr>
        <w:t xml:space="preserve">renewable and emerging technologies for the </w:t>
      </w:r>
      <w:r w:rsidR="0086623B">
        <w:rPr>
          <w:rFonts w:eastAsia="Times New Roman"/>
          <w:color w:val="000000" w:themeColor="text1"/>
        </w:rPr>
        <w:t>department</w:t>
      </w:r>
      <w:r w:rsidR="00367C3D" w:rsidRPr="00D22F2E">
        <w:rPr>
          <w:rFonts w:eastAsia="Times New Roman"/>
          <w:color w:val="000000" w:themeColor="text1"/>
        </w:rPr>
        <w:t>.</w:t>
      </w:r>
      <w:r w:rsidR="00C82F9E" w:rsidRPr="00D22F2E">
        <w:rPr>
          <w:rFonts w:eastAsia="Times New Roman"/>
          <w:color w:val="000000" w:themeColor="text1"/>
        </w:rPr>
        <w:t xml:space="preserve"> </w:t>
      </w:r>
      <w:r w:rsidR="00367C3D" w:rsidRPr="00D22F2E">
        <w:rPr>
          <w:rFonts w:eastAsia="Times New Roman"/>
          <w:color w:val="000000" w:themeColor="text1"/>
        </w:rPr>
        <w:t>“</w:t>
      </w:r>
      <w:r w:rsidR="008508B9" w:rsidRPr="00D22F2E">
        <w:rPr>
          <w:rFonts w:eastAsia="Times New Roman"/>
          <w:color w:val="000000" w:themeColor="text1"/>
        </w:rPr>
        <w:t xml:space="preserve">Bad things happen when </w:t>
      </w:r>
      <w:r w:rsidR="00A74261" w:rsidRPr="00D22F2E">
        <w:rPr>
          <w:rFonts w:eastAsia="Times New Roman"/>
          <w:color w:val="000000" w:themeColor="text1"/>
        </w:rPr>
        <w:t xml:space="preserve">necessary </w:t>
      </w:r>
      <w:r w:rsidR="008508B9" w:rsidRPr="00D22F2E">
        <w:rPr>
          <w:rFonts w:eastAsia="Times New Roman"/>
          <w:color w:val="000000" w:themeColor="text1"/>
        </w:rPr>
        <w:t>systems don’t work as expected.</w:t>
      </w:r>
      <w:r w:rsidR="009A30B6" w:rsidRPr="00D22F2E">
        <w:rPr>
          <w:rFonts w:eastAsia="Times New Roman"/>
          <w:color w:val="000000" w:themeColor="text1"/>
        </w:rPr>
        <w:t>”</w:t>
      </w:r>
      <w:r w:rsidR="008508B9" w:rsidRPr="00D22F2E">
        <w:rPr>
          <w:rFonts w:eastAsia="Times New Roman"/>
          <w:color w:val="000000" w:themeColor="text1"/>
        </w:rPr>
        <w:t xml:space="preserve"> </w:t>
      </w:r>
    </w:p>
    <w:p w14:paraId="4B121950" w14:textId="325F8F5C" w:rsidR="00C97575" w:rsidRPr="00D22F2E" w:rsidRDefault="00624B37" w:rsidP="00E729B1">
      <w:pPr>
        <w:suppressAutoHyphens/>
        <w:spacing w:before="240" w:line="276" w:lineRule="auto"/>
        <w:rPr>
          <w:color w:val="000000" w:themeColor="text1"/>
        </w:rPr>
      </w:pPr>
      <w:r w:rsidRPr="00D22F2E">
        <w:rPr>
          <w:color w:val="000000" w:themeColor="text1"/>
        </w:rPr>
        <w:lastRenderedPageBreak/>
        <w:t xml:space="preserve">Together, representatives from Hawaii Gas and OCCC facility staff devised a plan to </w:t>
      </w:r>
      <w:r w:rsidR="007F0B08" w:rsidRPr="00D22F2E">
        <w:rPr>
          <w:color w:val="000000" w:themeColor="text1"/>
        </w:rPr>
        <w:t xml:space="preserve">replace the </w:t>
      </w:r>
      <w:r w:rsidRPr="00D22F2E">
        <w:rPr>
          <w:color w:val="000000" w:themeColor="text1"/>
        </w:rPr>
        <w:t>two</w:t>
      </w:r>
      <w:r w:rsidR="00DF2835" w:rsidRPr="00D22F2E">
        <w:rPr>
          <w:color w:val="000000" w:themeColor="text1"/>
        </w:rPr>
        <w:t xml:space="preserve"> aging</w:t>
      </w:r>
      <w:r w:rsidRPr="00D22F2E">
        <w:rPr>
          <w:color w:val="000000" w:themeColor="text1"/>
        </w:rPr>
        <w:t xml:space="preserve"> </w:t>
      </w:r>
      <w:r w:rsidR="007F0B08" w:rsidRPr="00D22F2E">
        <w:rPr>
          <w:color w:val="000000" w:themeColor="text1"/>
        </w:rPr>
        <w:t>boiler</w:t>
      </w:r>
      <w:r w:rsidRPr="00D22F2E">
        <w:rPr>
          <w:color w:val="000000" w:themeColor="text1"/>
        </w:rPr>
        <w:t>s</w:t>
      </w:r>
      <w:r w:rsidR="007F0B08" w:rsidRPr="00D22F2E">
        <w:rPr>
          <w:color w:val="000000" w:themeColor="text1"/>
        </w:rPr>
        <w:t xml:space="preserve"> with </w:t>
      </w:r>
      <w:r w:rsidR="00CE1918" w:rsidRPr="00D22F2E">
        <w:rPr>
          <w:color w:val="000000" w:themeColor="text1"/>
        </w:rPr>
        <w:t xml:space="preserve">multiple </w:t>
      </w:r>
      <w:r w:rsidR="410F7FAC" w:rsidRPr="00D22F2E">
        <w:rPr>
          <w:color w:val="000000" w:themeColor="text1"/>
        </w:rPr>
        <w:t xml:space="preserve">commercial condensing </w:t>
      </w:r>
      <w:r w:rsidR="007F0B08" w:rsidRPr="00D22F2E">
        <w:rPr>
          <w:color w:val="000000" w:themeColor="text1"/>
        </w:rPr>
        <w:t>tankless water heaters</w:t>
      </w:r>
      <w:r w:rsidR="001F4E6B" w:rsidRPr="00D22F2E">
        <w:rPr>
          <w:color w:val="000000" w:themeColor="text1"/>
        </w:rPr>
        <w:t xml:space="preserve"> to provide </w:t>
      </w:r>
      <w:r w:rsidR="00CE1918" w:rsidRPr="00D22F2E">
        <w:rPr>
          <w:color w:val="000000" w:themeColor="text1"/>
        </w:rPr>
        <w:t xml:space="preserve">continuous hot water </w:t>
      </w:r>
      <w:r w:rsidR="00E47192" w:rsidRPr="00D22F2E">
        <w:rPr>
          <w:color w:val="000000" w:themeColor="text1"/>
        </w:rPr>
        <w:t>at</w:t>
      </w:r>
      <w:r w:rsidR="001F4E6B" w:rsidRPr="00D22F2E">
        <w:rPr>
          <w:color w:val="000000" w:themeColor="text1"/>
        </w:rPr>
        <w:t xml:space="preserve"> the </w:t>
      </w:r>
      <w:r w:rsidR="00340239" w:rsidRPr="00D22F2E">
        <w:rPr>
          <w:color w:val="000000" w:themeColor="text1"/>
        </w:rPr>
        <w:t>correctional facility</w:t>
      </w:r>
      <w:r w:rsidR="00E47192" w:rsidRPr="00D22F2E">
        <w:rPr>
          <w:color w:val="000000" w:themeColor="text1"/>
        </w:rPr>
        <w:t>.</w:t>
      </w:r>
      <w:r w:rsidR="001F4E6B" w:rsidRPr="00D22F2E">
        <w:rPr>
          <w:color w:val="000000" w:themeColor="text1"/>
        </w:rPr>
        <w:t xml:space="preserve"> </w:t>
      </w:r>
    </w:p>
    <w:p w14:paraId="6112599D" w14:textId="726EF162" w:rsidR="00754775" w:rsidRPr="00D22F2E" w:rsidRDefault="00754775" w:rsidP="00E729B1">
      <w:pPr>
        <w:suppressAutoHyphens/>
        <w:spacing w:before="240" w:line="276" w:lineRule="auto"/>
        <w:rPr>
          <w:color w:val="000000" w:themeColor="text1"/>
          <w:highlight w:val="yellow"/>
        </w:rPr>
      </w:pPr>
      <w:r w:rsidRPr="00D22F2E">
        <w:rPr>
          <w:color w:val="000000" w:themeColor="text1"/>
        </w:rPr>
        <w:t xml:space="preserve">To prevent a critical failure, the team leveraged the plug-and-play operation </w:t>
      </w:r>
      <w:r w:rsidR="0033273E" w:rsidRPr="00D22F2E">
        <w:rPr>
          <w:color w:val="000000" w:themeColor="text1"/>
        </w:rPr>
        <w:t>of</w:t>
      </w:r>
      <w:r w:rsidRPr="00D22F2E">
        <w:rPr>
          <w:color w:val="000000" w:themeColor="text1"/>
        </w:rPr>
        <w:t xml:space="preserve"> a prefabricated multi-tankless commercial heater </w:t>
      </w:r>
      <w:r w:rsidR="0033273E" w:rsidRPr="00D22F2E">
        <w:rPr>
          <w:color w:val="000000" w:themeColor="text1"/>
        </w:rPr>
        <w:t>s</w:t>
      </w:r>
      <w:r w:rsidRPr="00D22F2E">
        <w:rPr>
          <w:color w:val="000000" w:themeColor="text1"/>
        </w:rPr>
        <w:t xml:space="preserve">ystem from Noritz America. </w:t>
      </w:r>
      <w:r w:rsidR="00AF6179" w:rsidRPr="00D22F2E">
        <w:rPr>
          <w:color w:val="000000" w:themeColor="text1"/>
        </w:rPr>
        <w:t xml:space="preserve">Shipped as a complete wall- or floor-mounted module, contractors can select from among 36 </w:t>
      </w:r>
      <w:r w:rsidRPr="00D22F2E">
        <w:rPr>
          <w:color w:val="000000" w:themeColor="text1"/>
        </w:rPr>
        <w:t>metal rack</w:t>
      </w:r>
      <w:r w:rsidR="0033273E" w:rsidRPr="00D22F2E">
        <w:rPr>
          <w:color w:val="000000" w:themeColor="text1"/>
        </w:rPr>
        <w:t>-</w:t>
      </w:r>
      <w:r w:rsidRPr="00D22F2E">
        <w:rPr>
          <w:color w:val="000000" w:themeColor="text1"/>
        </w:rPr>
        <w:t xml:space="preserve">mounted systems </w:t>
      </w:r>
      <w:r w:rsidR="00F95D35" w:rsidRPr="00D22F2E">
        <w:rPr>
          <w:color w:val="000000" w:themeColor="text1"/>
        </w:rPr>
        <w:t xml:space="preserve">that </w:t>
      </w:r>
      <w:r w:rsidRPr="00D22F2E">
        <w:rPr>
          <w:color w:val="000000" w:themeColor="text1"/>
        </w:rPr>
        <w:t xml:space="preserve">are </w:t>
      </w:r>
      <w:r w:rsidR="00AF6179" w:rsidRPr="00D22F2E">
        <w:rPr>
          <w:color w:val="000000" w:themeColor="text1"/>
        </w:rPr>
        <w:t xml:space="preserve">fully assembled </w:t>
      </w:r>
      <w:r w:rsidRPr="00D22F2E">
        <w:rPr>
          <w:color w:val="000000" w:themeColor="text1"/>
        </w:rPr>
        <w:t>with high efficiency condensing tankless heaters, system controllers and manifolds. Installers need only</w:t>
      </w:r>
      <w:r w:rsidR="0033273E" w:rsidRPr="00D22F2E">
        <w:rPr>
          <w:color w:val="000000" w:themeColor="text1"/>
        </w:rPr>
        <w:t xml:space="preserve"> hours to</w:t>
      </w:r>
      <w:r w:rsidRPr="00D22F2E">
        <w:rPr>
          <w:color w:val="000000" w:themeColor="text1"/>
        </w:rPr>
        <w:t xml:space="preserve"> connect water</w:t>
      </w:r>
      <w:r w:rsidR="0033273E" w:rsidRPr="00D22F2E">
        <w:rPr>
          <w:color w:val="000000" w:themeColor="text1"/>
        </w:rPr>
        <w:t>, gas</w:t>
      </w:r>
      <w:r w:rsidRPr="00D22F2E">
        <w:rPr>
          <w:color w:val="000000" w:themeColor="text1"/>
        </w:rPr>
        <w:t xml:space="preserve"> and build vent runs, rather than </w:t>
      </w:r>
      <w:r w:rsidR="0033273E" w:rsidRPr="00D22F2E">
        <w:rPr>
          <w:color w:val="000000" w:themeColor="text1"/>
        </w:rPr>
        <w:t>days to construct</w:t>
      </w:r>
      <w:r w:rsidRPr="00D22F2E">
        <w:rPr>
          <w:color w:val="000000" w:themeColor="text1"/>
        </w:rPr>
        <w:t xml:space="preserve"> </w:t>
      </w:r>
      <w:r w:rsidR="0033273E" w:rsidRPr="00D22F2E">
        <w:rPr>
          <w:color w:val="000000" w:themeColor="text1"/>
        </w:rPr>
        <w:t>a</w:t>
      </w:r>
      <w:r w:rsidRPr="00D22F2E">
        <w:rPr>
          <w:color w:val="000000" w:themeColor="text1"/>
        </w:rPr>
        <w:t xml:space="preserve"> multi-unit system from scratch.</w:t>
      </w:r>
      <w:r w:rsidRPr="00D22F2E">
        <w:rPr>
          <w:color w:val="000000" w:themeColor="text1"/>
          <w:highlight w:val="yellow"/>
        </w:rPr>
        <w:t xml:space="preserve"> </w:t>
      </w:r>
    </w:p>
    <w:p w14:paraId="29A302A9" w14:textId="4D97758C" w:rsidR="00C51028" w:rsidRPr="00D22F2E" w:rsidRDefault="00891CF6" w:rsidP="00E729B1">
      <w:pPr>
        <w:suppressAutoHyphens/>
        <w:spacing w:before="240" w:line="276" w:lineRule="auto"/>
        <w:rPr>
          <w:color w:val="000000" w:themeColor="text1"/>
          <w:lang w:eastAsia="en-US"/>
        </w:rPr>
      </w:pPr>
      <w:r w:rsidRPr="00D22F2E">
        <w:rPr>
          <w:color w:val="000000" w:themeColor="text1"/>
        </w:rPr>
        <w:t xml:space="preserve">The </w:t>
      </w:r>
      <w:r w:rsidR="004E30D5" w:rsidRPr="00D22F2E">
        <w:rPr>
          <w:color w:val="000000" w:themeColor="text1"/>
        </w:rPr>
        <w:t xml:space="preserve">initial </w:t>
      </w:r>
      <w:r w:rsidRPr="00D22F2E">
        <w:rPr>
          <w:color w:val="000000" w:themeColor="text1"/>
        </w:rPr>
        <w:t xml:space="preserve">plan involved installing six NCC199CDV </w:t>
      </w:r>
      <w:r w:rsidR="002173CB" w:rsidRPr="00D22F2E">
        <w:rPr>
          <w:color w:val="000000" w:themeColor="text1"/>
        </w:rPr>
        <w:t xml:space="preserve">gas-fired </w:t>
      </w:r>
      <w:r w:rsidRPr="00D22F2E">
        <w:rPr>
          <w:color w:val="000000" w:themeColor="text1"/>
        </w:rPr>
        <w:t>commercial condensing tankless heaters</w:t>
      </w:r>
      <w:r w:rsidR="00546D1A" w:rsidRPr="00D22F2E">
        <w:rPr>
          <w:color w:val="000000" w:themeColor="text1"/>
        </w:rPr>
        <w:t xml:space="preserve"> to improve the </w:t>
      </w:r>
      <w:r w:rsidR="00546D1A" w:rsidRPr="00D22F2E">
        <w:rPr>
          <w:rFonts w:eastAsia="Times New Roman"/>
          <w:color w:val="000000" w:themeColor="text1"/>
        </w:rPr>
        <w:t>resiliency and reliability</w:t>
      </w:r>
      <w:r w:rsidR="00546D1A" w:rsidRPr="00D22F2E">
        <w:rPr>
          <w:color w:val="000000" w:themeColor="text1"/>
        </w:rPr>
        <w:t xml:space="preserve"> of </w:t>
      </w:r>
      <w:r w:rsidR="00A74261" w:rsidRPr="00D22F2E">
        <w:rPr>
          <w:color w:val="000000" w:themeColor="text1"/>
        </w:rPr>
        <w:t xml:space="preserve">the </w:t>
      </w:r>
      <w:r w:rsidR="00546D1A" w:rsidRPr="00D22F2E">
        <w:rPr>
          <w:color w:val="000000" w:themeColor="text1"/>
        </w:rPr>
        <w:t xml:space="preserve">correctional facility’s hot water supply, according to </w:t>
      </w:r>
      <w:r w:rsidR="00D4446C">
        <w:rPr>
          <w:color w:val="000000" w:themeColor="text1"/>
          <w:u w:val="single"/>
          <w:lang w:eastAsia="en-US"/>
        </w:rPr>
        <w:t>Brian Yee</w:t>
      </w:r>
      <w:r w:rsidR="00546D1A" w:rsidRPr="00D22F2E">
        <w:rPr>
          <w:color w:val="000000" w:themeColor="text1"/>
          <w:lang w:eastAsia="en-US"/>
        </w:rPr>
        <w:t xml:space="preserve">, </w:t>
      </w:r>
      <w:r w:rsidR="00650AC3">
        <w:rPr>
          <w:rFonts w:eastAsia="Times New Roman"/>
          <w:color w:val="000000" w:themeColor="text1"/>
        </w:rPr>
        <w:t>Manager, Strategic Partnerships and New Business Development</w:t>
      </w:r>
      <w:r w:rsidR="00650AC3" w:rsidRPr="00D22F2E">
        <w:rPr>
          <w:rFonts w:eastAsia="Times New Roman"/>
          <w:color w:val="000000" w:themeColor="text1"/>
        </w:rPr>
        <w:t xml:space="preserve"> </w:t>
      </w:r>
      <w:r w:rsidR="00546D1A" w:rsidRPr="00D22F2E">
        <w:rPr>
          <w:color w:val="000000" w:themeColor="text1"/>
          <w:lang w:eastAsia="en-US"/>
        </w:rPr>
        <w:t xml:space="preserve">for Hawaii Gas. </w:t>
      </w:r>
      <w:r w:rsidR="00871CFD" w:rsidRPr="00D22F2E">
        <w:rPr>
          <w:color w:val="000000" w:themeColor="text1"/>
          <w:lang w:eastAsia="en-US"/>
        </w:rPr>
        <w:t xml:space="preserve"> </w:t>
      </w:r>
    </w:p>
    <w:p w14:paraId="2EBCE8EE" w14:textId="04524469" w:rsidR="00546D1A" w:rsidRPr="00D22F2E" w:rsidRDefault="00546D1A" w:rsidP="00E729B1">
      <w:pPr>
        <w:suppressAutoHyphens/>
        <w:spacing w:before="240" w:line="276" w:lineRule="auto"/>
        <w:rPr>
          <w:rFonts w:eastAsia="Times New Roman"/>
          <w:color w:val="000000" w:themeColor="text1"/>
        </w:rPr>
      </w:pPr>
      <w:r w:rsidRPr="00D22F2E">
        <w:rPr>
          <w:rFonts w:eastAsia="Times New Roman"/>
          <w:color w:val="000000" w:themeColor="text1"/>
        </w:rPr>
        <w:t xml:space="preserve">“With a </w:t>
      </w:r>
      <w:r w:rsidR="00EB2BB1" w:rsidRPr="00D22F2E">
        <w:rPr>
          <w:rFonts w:eastAsia="Times New Roman"/>
          <w:color w:val="000000" w:themeColor="text1"/>
        </w:rPr>
        <w:t xml:space="preserve">Uniform Energy Factor of 0.96 </w:t>
      </w:r>
      <w:r w:rsidRPr="00D22F2E">
        <w:rPr>
          <w:rFonts w:eastAsia="Times New Roman"/>
          <w:color w:val="000000" w:themeColor="text1"/>
        </w:rPr>
        <w:t xml:space="preserve">efficiency rating, these </w:t>
      </w:r>
      <w:r w:rsidRPr="00D22F2E">
        <w:rPr>
          <w:color w:val="000000" w:themeColor="text1"/>
        </w:rPr>
        <w:t>199,900 BTU/</w:t>
      </w:r>
      <w:proofErr w:type="spellStart"/>
      <w:r w:rsidRPr="00D22F2E">
        <w:rPr>
          <w:color w:val="000000" w:themeColor="text1"/>
        </w:rPr>
        <w:t>hr</w:t>
      </w:r>
      <w:proofErr w:type="spellEnd"/>
      <w:r w:rsidRPr="00D22F2E">
        <w:rPr>
          <w:color w:val="000000" w:themeColor="text1"/>
        </w:rPr>
        <w:t xml:space="preserve"> natural gas </w:t>
      </w:r>
      <w:r w:rsidRPr="00D22F2E">
        <w:rPr>
          <w:rFonts w:eastAsia="Times New Roman"/>
          <w:color w:val="000000" w:themeColor="text1"/>
        </w:rPr>
        <w:t xml:space="preserve">tankless units produce an endless supply of hot water using </w:t>
      </w:r>
      <w:r w:rsidR="00A74261" w:rsidRPr="00D22F2E">
        <w:rPr>
          <w:rFonts w:eastAsia="Times New Roman"/>
          <w:color w:val="000000" w:themeColor="text1"/>
        </w:rPr>
        <w:t xml:space="preserve">renewable </w:t>
      </w:r>
      <w:r w:rsidRPr="00D22F2E">
        <w:rPr>
          <w:rFonts w:eastAsia="Times New Roman"/>
          <w:color w:val="000000" w:themeColor="text1"/>
        </w:rPr>
        <w:t xml:space="preserve">fuel </w:t>
      </w:r>
      <w:r w:rsidR="00A74261" w:rsidRPr="00D22F2E">
        <w:rPr>
          <w:rFonts w:eastAsia="Times New Roman"/>
          <w:color w:val="000000" w:themeColor="text1"/>
        </w:rPr>
        <w:t>that is</w:t>
      </w:r>
      <w:r w:rsidRPr="00D22F2E">
        <w:rPr>
          <w:rFonts w:eastAsia="Times New Roman"/>
          <w:color w:val="000000" w:themeColor="text1"/>
        </w:rPr>
        <w:t>—depending on its source—either carbon negative or carbon neutral</w:t>
      </w:r>
      <w:r w:rsidR="00C51028" w:rsidRPr="00D22F2E">
        <w:rPr>
          <w:rFonts w:eastAsia="Times New Roman"/>
          <w:color w:val="000000" w:themeColor="text1"/>
        </w:rPr>
        <w:t>,</w:t>
      </w:r>
      <w:r w:rsidRPr="00D22F2E">
        <w:rPr>
          <w:rFonts w:eastAsia="Times New Roman"/>
          <w:color w:val="000000" w:themeColor="text1"/>
        </w:rPr>
        <w:t>”</w:t>
      </w:r>
      <w:r w:rsidR="00C51028" w:rsidRPr="00D22F2E">
        <w:rPr>
          <w:rFonts w:eastAsia="Times New Roman"/>
          <w:color w:val="000000" w:themeColor="text1"/>
        </w:rPr>
        <w:t xml:space="preserve"> says </w:t>
      </w:r>
      <w:r w:rsidR="00D4446C">
        <w:rPr>
          <w:rFonts w:eastAsia="Times New Roman"/>
          <w:color w:val="000000" w:themeColor="text1"/>
        </w:rPr>
        <w:t>Yee</w:t>
      </w:r>
      <w:r w:rsidR="00C51028" w:rsidRPr="00D22F2E">
        <w:rPr>
          <w:rFonts w:eastAsia="Times New Roman"/>
          <w:color w:val="000000" w:themeColor="text1"/>
        </w:rPr>
        <w:t xml:space="preserve">, who helped </w:t>
      </w:r>
      <w:r w:rsidR="0086623B">
        <w:rPr>
          <w:rFonts w:eastAsia="Times New Roman"/>
          <w:color w:val="000000" w:themeColor="text1"/>
        </w:rPr>
        <w:t>the department</w:t>
      </w:r>
      <w:r w:rsidR="0086623B" w:rsidRPr="00D22F2E">
        <w:rPr>
          <w:rFonts w:eastAsia="Times New Roman"/>
          <w:color w:val="000000" w:themeColor="text1"/>
        </w:rPr>
        <w:t xml:space="preserve"> </w:t>
      </w:r>
      <w:r w:rsidR="00C51028" w:rsidRPr="00D22F2E">
        <w:rPr>
          <w:rFonts w:eastAsia="Times New Roman"/>
          <w:color w:val="000000" w:themeColor="text1"/>
        </w:rPr>
        <w:t xml:space="preserve">plan the </w:t>
      </w:r>
      <w:r w:rsidR="00353FD2" w:rsidRPr="00D22F2E">
        <w:rPr>
          <w:rFonts w:eastAsia="Times New Roman"/>
          <w:color w:val="000000" w:themeColor="text1"/>
        </w:rPr>
        <w:t xml:space="preserve">retrofit </w:t>
      </w:r>
      <w:r w:rsidR="00C51028" w:rsidRPr="00D22F2E">
        <w:rPr>
          <w:rFonts w:eastAsia="Times New Roman"/>
          <w:color w:val="000000" w:themeColor="text1"/>
        </w:rPr>
        <w:t>project on behalf of the utility.</w:t>
      </w:r>
    </w:p>
    <w:p w14:paraId="60BB81A1" w14:textId="63172052" w:rsidR="00312CB4" w:rsidRPr="00D22F2E" w:rsidRDefault="00312CB4" w:rsidP="00E729B1">
      <w:pPr>
        <w:suppressAutoHyphens/>
        <w:spacing w:before="240" w:line="276" w:lineRule="auto"/>
        <w:rPr>
          <w:b/>
          <w:color w:val="000000" w:themeColor="text1"/>
          <w:sz w:val="26"/>
          <w:szCs w:val="26"/>
        </w:rPr>
      </w:pPr>
      <w:r w:rsidRPr="00D22F2E">
        <w:rPr>
          <w:b/>
          <w:color w:val="000000" w:themeColor="text1"/>
          <w:sz w:val="26"/>
          <w:szCs w:val="26"/>
        </w:rPr>
        <w:t xml:space="preserve">Tankless </w:t>
      </w:r>
      <w:r w:rsidR="00D4446C">
        <w:rPr>
          <w:b/>
          <w:color w:val="000000" w:themeColor="text1"/>
          <w:sz w:val="26"/>
          <w:szCs w:val="26"/>
        </w:rPr>
        <w:t>Brings Redundancy, Efficiency and Cost Savings</w:t>
      </w:r>
    </w:p>
    <w:p w14:paraId="783CA544" w14:textId="3B6F3352" w:rsidR="00E60784" w:rsidRPr="00D22F2E" w:rsidRDefault="00A223B6" w:rsidP="00E729B1">
      <w:pPr>
        <w:suppressAutoHyphens/>
        <w:spacing w:before="240" w:line="276" w:lineRule="auto"/>
        <w:rPr>
          <w:rFonts w:eastAsia="Times New Roman"/>
          <w:color w:val="000000" w:themeColor="text1"/>
        </w:rPr>
      </w:pPr>
      <w:r>
        <w:rPr>
          <w:rFonts w:eastAsia="Times New Roman"/>
          <w:color w:val="000000" w:themeColor="text1"/>
        </w:rPr>
        <w:t>Yee</w:t>
      </w:r>
      <w:r w:rsidR="00650AC3" w:rsidRPr="00D22F2E">
        <w:rPr>
          <w:rFonts w:eastAsia="Times New Roman"/>
          <w:color w:val="000000" w:themeColor="text1"/>
        </w:rPr>
        <w:t xml:space="preserve"> worked closely with </w:t>
      </w:r>
      <w:r w:rsidR="00650AC3">
        <w:rPr>
          <w:rFonts w:eastAsia="Times New Roman"/>
          <w:color w:val="000000" w:themeColor="text1"/>
        </w:rPr>
        <w:t xml:space="preserve">Lewis Kam and </w:t>
      </w:r>
      <w:r w:rsidR="00E60784" w:rsidRPr="00D22F2E">
        <w:rPr>
          <w:rFonts w:eastAsia="Times New Roman"/>
          <w:color w:val="000000" w:themeColor="text1"/>
        </w:rPr>
        <w:t>Ray Gonzalez</w:t>
      </w:r>
      <w:r w:rsidR="00650AC3">
        <w:rPr>
          <w:rFonts w:eastAsia="Times New Roman"/>
          <w:color w:val="000000" w:themeColor="text1"/>
        </w:rPr>
        <w:t xml:space="preserve">, both maintenance supervisors at the </w:t>
      </w:r>
      <w:r w:rsidR="00E60784" w:rsidRPr="00D22F2E">
        <w:rPr>
          <w:rFonts w:eastAsia="Times New Roman"/>
          <w:color w:val="000000" w:themeColor="text1"/>
        </w:rPr>
        <w:t>OCCC</w:t>
      </w:r>
      <w:r w:rsidR="003726CE" w:rsidRPr="00D22F2E">
        <w:rPr>
          <w:rFonts w:eastAsia="Times New Roman"/>
          <w:color w:val="000000" w:themeColor="text1"/>
        </w:rPr>
        <w:t>,</w:t>
      </w:r>
      <w:r w:rsidR="00E60784" w:rsidRPr="00D22F2E">
        <w:rPr>
          <w:rFonts w:eastAsia="Times New Roman"/>
          <w:color w:val="000000" w:themeColor="text1"/>
        </w:rPr>
        <w:t xml:space="preserve"> </w:t>
      </w:r>
      <w:r w:rsidR="00A74261" w:rsidRPr="00D22F2E">
        <w:rPr>
          <w:rFonts w:eastAsia="Times New Roman"/>
          <w:color w:val="000000" w:themeColor="text1"/>
        </w:rPr>
        <w:t xml:space="preserve">to plan </w:t>
      </w:r>
      <w:r w:rsidR="00E60784" w:rsidRPr="00D22F2E">
        <w:rPr>
          <w:rFonts w:eastAsia="Times New Roman"/>
          <w:color w:val="000000" w:themeColor="text1"/>
        </w:rPr>
        <w:t xml:space="preserve">the </w:t>
      </w:r>
      <w:r w:rsidR="6A832DED" w:rsidRPr="00D22F2E">
        <w:rPr>
          <w:rFonts w:eastAsia="Times New Roman"/>
          <w:color w:val="000000" w:themeColor="text1"/>
        </w:rPr>
        <w:t>12</w:t>
      </w:r>
      <w:r w:rsidR="00E60784" w:rsidRPr="00D22F2E">
        <w:rPr>
          <w:rFonts w:eastAsia="Times New Roman"/>
          <w:color w:val="000000" w:themeColor="text1"/>
        </w:rPr>
        <w:t xml:space="preserve">-week project that would be implemented in three stages to accommodate the 24/7 </w:t>
      </w:r>
      <w:r w:rsidR="00B139FF" w:rsidRPr="00D22F2E">
        <w:rPr>
          <w:rFonts w:eastAsia="Times New Roman"/>
          <w:color w:val="000000" w:themeColor="text1"/>
        </w:rPr>
        <w:t xml:space="preserve">secure </w:t>
      </w:r>
      <w:r w:rsidR="00E60784" w:rsidRPr="00D22F2E">
        <w:rPr>
          <w:rFonts w:eastAsia="Times New Roman"/>
          <w:color w:val="000000" w:themeColor="text1"/>
        </w:rPr>
        <w:t xml:space="preserve">operation. </w:t>
      </w:r>
      <w:r w:rsidR="00F12B53" w:rsidRPr="00D22F2E">
        <w:rPr>
          <w:rFonts w:eastAsia="Times New Roman"/>
          <w:color w:val="000000" w:themeColor="text1"/>
        </w:rPr>
        <w:t xml:space="preserve">Because the existing boilers and hot water storage tanks were failing, </w:t>
      </w:r>
      <w:r w:rsidR="00882622" w:rsidRPr="00D22F2E">
        <w:rPr>
          <w:rFonts w:eastAsia="Times New Roman"/>
          <w:color w:val="000000" w:themeColor="text1"/>
        </w:rPr>
        <w:t xml:space="preserve">the first and second </w:t>
      </w:r>
      <w:r w:rsidR="00F12B53" w:rsidRPr="00D22F2E">
        <w:rPr>
          <w:rFonts w:eastAsia="Times New Roman"/>
          <w:color w:val="000000" w:themeColor="text1"/>
        </w:rPr>
        <w:t>phase</w:t>
      </w:r>
      <w:r w:rsidR="00882622" w:rsidRPr="00D22F2E">
        <w:rPr>
          <w:rFonts w:eastAsia="Times New Roman"/>
          <w:color w:val="000000" w:themeColor="text1"/>
        </w:rPr>
        <w:t>s</w:t>
      </w:r>
      <w:r w:rsidR="00F12B53" w:rsidRPr="00D22F2E">
        <w:rPr>
          <w:rFonts w:eastAsia="Times New Roman"/>
          <w:color w:val="000000" w:themeColor="text1"/>
        </w:rPr>
        <w:t xml:space="preserve"> </w:t>
      </w:r>
      <w:r w:rsidR="00882622" w:rsidRPr="00D22F2E">
        <w:rPr>
          <w:rFonts w:eastAsia="Times New Roman"/>
          <w:color w:val="000000" w:themeColor="text1"/>
        </w:rPr>
        <w:t>w</w:t>
      </w:r>
      <w:r w:rsidR="00F12B53" w:rsidRPr="00D22F2E">
        <w:rPr>
          <w:rFonts w:eastAsia="Times New Roman"/>
          <w:color w:val="000000" w:themeColor="text1"/>
        </w:rPr>
        <w:t xml:space="preserve">ere expedited to avoid catastrophic failure. </w:t>
      </w:r>
    </w:p>
    <w:p w14:paraId="5606557D" w14:textId="3992211B" w:rsidR="00FC7F1F" w:rsidRPr="00D22F2E" w:rsidRDefault="00FC7F1F" w:rsidP="00E729B1">
      <w:pPr>
        <w:suppressAutoHyphens/>
        <w:spacing w:before="240" w:line="276" w:lineRule="auto"/>
        <w:rPr>
          <w:rFonts w:eastAsia="Times New Roman"/>
          <w:color w:val="000000" w:themeColor="text1"/>
        </w:rPr>
      </w:pPr>
      <w:r w:rsidRPr="00D22F2E">
        <w:rPr>
          <w:rFonts w:eastAsia="Times New Roman"/>
          <w:color w:val="000000" w:themeColor="text1"/>
          <w:lang w:eastAsia="en-US"/>
        </w:rPr>
        <w:t xml:space="preserve">Originally designed for 628 detainees, the </w:t>
      </w:r>
      <w:r w:rsidRPr="00D22F2E">
        <w:rPr>
          <w:rFonts w:eastAsia="Times New Roman"/>
          <w:color w:val="000000" w:themeColor="text1"/>
        </w:rPr>
        <w:t>OCCC</w:t>
      </w:r>
      <w:r w:rsidRPr="00D22F2E">
        <w:rPr>
          <w:rFonts w:eastAsia="Times New Roman"/>
          <w:color w:val="000000" w:themeColor="text1"/>
          <w:lang w:eastAsia="en-US"/>
        </w:rPr>
        <w:t xml:space="preserve"> facility was rebuilt and expanded more than 40 years ago to accommodate 954 detainees</w:t>
      </w:r>
      <w:r w:rsidRPr="00D22F2E">
        <w:rPr>
          <w:rFonts w:eastAsia="Times New Roman"/>
          <w:color w:val="000000" w:themeColor="text1"/>
        </w:rPr>
        <w:t xml:space="preserve"> awaiting trial and inmates with short sentences. During the summer of 2018, the facility had a population of more than 1,222 offenders</w:t>
      </w:r>
      <w:r w:rsidR="00EC23A3">
        <w:rPr>
          <w:rFonts w:eastAsia="Times New Roman"/>
          <w:color w:val="000000" w:themeColor="text1"/>
        </w:rPr>
        <w:t xml:space="preserve">, roughly </w:t>
      </w:r>
      <w:r w:rsidRPr="00D22F2E">
        <w:rPr>
          <w:rFonts w:eastAsia="Times New Roman"/>
          <w:color w:val="000000" w:themeColor="text1"/>
        </w:rPr>
        <w:t>28 percent beyond the center’s capacity.</w:t>
      </w:r>
    </w:p>
    <w:p w14:paraId="0B828FE9" w14:textId="3C880A2C" w:rsidR="00FC7F1F" w:rsidRPr="00D22F2E" w:rsidRDefault="00A74261" w:rsidP="00E729B1">
      <w:pPr>
        <w:suppressAutoHyphens/>
        <w:spacing w:before="240" w:line="276" w:lineRule="auto"/>
        <w:rPr>
          <w:rFonts w:eastAsia="Times New Roman"/>
          <w:color w:val="000000" w:themeColor="text1"/>
        </w:rPr>
      </w:pPr>
      <w:r w:rsidRPr="00D22F2E">
        <w:rPr>
          <w:rFonts w:eastAsia="Times New Roman"/>
          <w:color w:val="000000" w:themeColor="text1"/>
        </w:rPr>
        <w:t xml:space="preserve">According to Gonzalez, in addition to more users requiring hot water, most </w:t>
      </w:r>
      <w:r w:rsidR="00FC7F1F" w:rsidRPr="00D22F2E">
        <w:rPr>
          <w:rFonts w:eastAsia="Times New Roman"/>
          <w:color w:val="000000" w:themeColor="text1"/>
        </w:rPr>
        <w:t>inmates shower at the same time</w:t>
      </w:r>
      <w:r w:rsidR="003726CE" w:rsidRPr="00D22F2E">
        <w:rPr>
          <w:rFonts w:eastAsia="Times New Roman"/>
          <w:color w:val="000000" w:themeColor="text1"/>
        </w:rPr>
        <w:t>,</w:t>
      </w:r>
      <w:r w:rsidR="00FC7F1F" w:rsidRPr="00D22F2E">
        <w:rPr>
          <w:rFonts w:eastAsia="Times New Roman"/>
          <w:color w:val="000000" w:themeColor="text1"/>
        </w:rPr>
        <w:t xml:space="preserve"> generating a huge surge in demand</w:t>
      </w:r>
      <w:r w:rsidRPr="00D22F2E">
        <w:rPr>
          <w:rFonts w:eastAsia="Times New Roman"/>
          <w:color w:val="000000" w:themeColor="text1"/>
        </w:rPr>
        <w:t xml:space="preserve">. </w:t>
      </w:r>
      <w:r w:rsidR="00FC7F1F" w:rsidRPr="00D22F2E">
        <w:rPr>
          <w:rFonts w:eastAsia="Times New Roman"/>
          <w:color w:val="000000" w:themeColor="text1"/>
          <w:lang w:eastAsia="en-US"/>
        </w:rPr>
        <w:t xml:space="preserve">“The existing boilers were installed in </w:t>
      </w:r>
      <w:r w:rsidR="00FC7F1F" w:rsidRPr="00D22F2E">
        <w:rPr>
          <w:rFonts w:eastAsia="Times New Roman"/>
          <w:color w:val="000000" w:themeColor="text1"/>
        </w:rPr>
        <w:t xml:space="preserve">1996 </w:t>
      </w:r>
      <w:r w:rsidR="00312CB4" w:rsidRPr="00D22F2E">
        <w:rPr>
          <w:rFonts w:eastAsia="Times New Roman"/>
          <w:color w:val="000000" w:themeColor="text1"/>
        </w:rPr>
        <w:t xml:space="preserve">and designed </w:t>
      </w:r>
      <w:r w:rsidR="00FC7F1F" w:rsidRPr="00D22F2E">
        <w:rPr>
          <w:rFonts w:eastAsia="Times New Roman"/>
          <w:color w:val="000000" w:themeColor="text1"/>
        </w:rPr>
        <w:t>to service a much smaller population than we have today,” continues Gonzalez. “Inmates housed furthest from the boilers were most likely to be forced to take cold showers.</w:t>
      </w:r>
      <w:r w:rsidR="00312CB4" w:rsidRPr="00D22F2E">
        <w:rPr>
          <w:rFonts w:eastAsia="Times New Roman"/>
          <w:color w:val="000000" w:themeColor="text1"/>
        </w:rPr>
        <w:t>”</w:t>
      </w:r>
    </w:p>
    <w:p w14:paraId="7B86B1CB" w14:textId="477922FD" w:rsidR="00871CFD" w:rsidRPr="00D22F2E" w:rsidRDefault="00D123D5" w:rsidP="00882622">
      <w:pPr>
        <w:suppressAutoHyphens/>
        <w:spacing w:before="240" w:line="276" w:lineRule="auto"/>
        <w:rPr>
          <w:rFonts w:eastAsia="Times New Roman"/>
          <w:color w:val="000000" w:themeColor="text1"/>
        </w:rPr>
      </w:pPr>
      <w:r w:rsidRPr="00D22F2E">
        <w:rPr>
          <w:rFonts w:eastAsia="Times New Roman"/>
          <w:color w:val="000000" w:themeColor="text1"/>
        </w:rPr>
        <w:t>Th</w:t>
      </w:r>
      <w:r w:rsidR="00E60784" w:rsidRPr="00D22F2E">
        <w:rPr>
          <w:rFonts w:eastAsia="Times New Roman"/>
          <w:color w:val="000000" w:themeColor="text1"/>
        </w:rPr>
        <w:t xml:space="preserve">e </w:t>
      </w:r>
      <w:r w:rsidR="00C97575" w:rsidRPr="00D22F2E">
        <w:rPr>
          <w:rFonts w:eastAsia="Times New Roman"/>
          <w:color w:val="000000" w:themeColor="text1"/>
        </w:rPr>
        <w:t xml:space="preserve">first </w:t>
      </w:r>
      <w:r w:rsidRPr="00D22F2E">
        <w:rPr>
          <w:rFonts w:eastAsia="Times New Roman"/>
          <w:color w:val="000000" w:themeColor="text1"/>
        </w:rPr>
        <w:t xml:space="preserve">phase </w:t>
      </w:r>
      <w:r w:rsidR="00A74261" w:rsidRPr="00D22F2E">
        <w:rPr>
          <w:rFonts w:eastAsia="Times New Roman"/>
          <w:color w:val="000000" w:themeColor="text1"/>
        </w:rPr>
        <w:t>of the retrofit project</w:t>
      </w:r>
      <w:r w:rsidR="00882622" w:rsidRPr="00D22F2E">
        <w:rPr>
          <w:rFonts w:eastAsia="Times New Roman"/>
          <w:color w:val="000000" w:themeColor="text1"/>
        </w:rPr>
        <w:t>—with six condensing tankless units—</w:t>
      </w:r>
      <w:r w:rsidRPr="00D22F2E">
        <w:rPr>
          <w:rFonts w:eastAsia="Times New Roman"/>
          <w:color w:val="000000" w:themeColor="text1"/>
        </w:rPr>
        <w:t>would</w:t>
      </w:r>
      <w:r w:rsidR="00871CFD" w:rsidRPr="00D22F2E">
        <w:rPr>
          <w:rFonts w:eastAsia="Times New Roman"/>
          <w:color w:val="000000" w:themeColor="text1"/>
        </w:rPr>
        <w:t xml:space="preserve"> </w:t>
      </w:r>
      <w:r w:rsidRPr="00D22F2E">
        <w:rPr>
          <w:rFonts w:eastAsia="Times New Roman"/>
          <w:color w:val="000000" w:themeColor="text1"/>
        </w:rPr>
        <w:t xml:space="preserve">provide </w:t>
      </w:r>
      <w:r w:rsidR="00C97575" w:rsidRPr="00D22F2E">
        <w:rPr>
          <w:rFonts w:eastAsia="Times New Roman"/>
          <w:color w:val="000000" w:themeColor="text1"/>
        </w:rPr>
        <w:t xml:space="preserve">potable </w:t>
      </w:r>
      <w:r w:rsidR="00882622" w:rsidRPr="00D22F2E">
        <w:rPr>
          <w:rFonts w:eastAsia="Times New Roman"/>
          <w:color w:val="000000" w:themeColor="text1"/>
        </w:rPr>
        <w:t xml:space="preserve">hot </w:t>
      </w:r>
      <w:r w:rsidRPr="00D22F2E">
        <w:rPr>
          <w:rFonts w:eastAsia="Times New Roman"/>
          <w:color w:val="000000" w:themeColor="text1"/>
        </w:rPr>
        <w:t xml:space="preserve">water to </w:t>
      </w:r>
      <w:r w:rsidR="00C97575" w:rsidRPr="00D22F2E">
        <w:rPr>
          <w:rFonts w:eastAsia="Times New Roman"/>
          <w:color w:val="000000" w:themeColor="text1"/>
        </w:rPr>
        <w:t>one-third</w:t>
      </w:r>
      <w:r w:rsidR="33AC1DEE" w:rsidRPr="00D22F2E">
        <w:rPr>
          <w:rFonts w:eastAsia="Times New Roman"/>
          <w:color w:val="000000" w:themeColor="text1"/>
        </w:rPr>
        <w:t xml:space="preserve"> of the</w:t>
      </w:r>
      <w:r w:rsidRPr="00D22F2E">
        <w:rPr>
          <w:rFonts w:eastAsia="Times New Roman"/>
          <w:color w:val="000000" w:themeColor="text1"/>
        </w:rPr>
        <w:t xml:space="preserve"> </w:t>
      </w:r>
      <w:r w:rsidR="00C97575" w:rsidRPr="00D22F2E">
        <w:rPr>
          <w:rFonts w:eastAsia="Times New Roman"/>
          <w:color w:val="000000" w:themeColor="text1"/>
        </w:rPr>
        <w:t xml:space="preserve">center’s </w:t>
      </w:r>
      <w:r w:rsidR="00871CFD" w:rsidRPr="00D22F2E">
        <w:rPr>
          <w:rFonts w:eastAsia="Times New Roman"/>
          <w:color w:val="000000" w:themeColor="text1"/>
        </w:rPr>
        <w:t>housing module</w:t>
      </w:r>
      <w:r w:rsidRPr="00D22F2E">
        <w:rPr>
          <w:rFonts w:eastAsia="Times New Roman"/>
          <w:color w:val="000000" w:themeColor="text1"/>
        </w:rPr>
        <w:t xml:space="preserve">s, </w:t>
      </w:r>
      <w:r w:rsidR="00F54FF3" w:rsidRPr="00D22F2E">
        <w:rPr>
          <w:rFonts w:eastAsia="Times New Roman"/>
          <w:color w:val="000000" w:themeColor="text1"/>
        </w:rPr>
        <w:t xml:space="preserve">which accommodate </w:t>
      </w:r>
      <w:r w:rsidRPr="00D22F2E">
        <w:rPr>
          <w:rFonts w:eastAsia="Times New Roman"/>
          <w:color w:val="000000" w:themeColor="text1"/>
        </w:rPr>
        <w:t xml:space="preserve">roughly </w:t>
      </w:r>
      <w:r w:rsidR="33AC1DEE" w:rsidRPr="00D22F2E">
        <w:rPr>
          <w:rFonts w:eastAsia="Times New Roman"/>
          <w:color w:val="000000" w:themeColor="text1"/>
        </w:rPr>
        <w:t>400</w:t>
      </w:r>
      <w:r w:rsidRPr="00D22F2E">
        <w:rPr>
          <w:rFonts w:eastAsia="Times New Roman"/>
          <w:color w:val="000000" w:themeColor="text1"/>
        </w:rPr>
        <w:t xml:space="preserve"> inmates</w:t>
      </w:r>
      <w:r w:rsidR="00871CFD" w:rsidRPr="00D22F2E">
        <w:rPr>
          <w:rFonts w:eastAsia="Times New Roman"/>
          <w:color w:val="000000" w:themeColor="text1"/>
        </w:rPr>
        <w:t xml:space="preserve">. Once complete, </w:t>
      </w:r>
      <w:r w:rsidR="770942B1" w:rsidRPr="00D22F2E">
        <w:rPr>
          <w:rFonts w:eastAsia="Times New Roman"/>
          <w:color w:val="000000" w:themeColor="text1"/>
        </w:rPr>
        <w:t xml:space="preserve">the second phase of the project </w:t>
      </w:r>
      <w:r w:rsidR="00F95D35" w:rsidRPr="00D22F2E">
        <w:rPr>
          <w:rFonts w:eastAsia="Times New Roman"/>
          <w:color w:val="000000" w:themeColor="text1"/>
        </w:rPr>
        <w:lastRenderedPageBreak/>
        <w:t xml:space="preserve">would </w:t>
      </w:r>
      <w:r w:rsidR="00882622" w:rsidRPr="00D22F2E">
        <w:rPr>
          <w:rFonts w:eastAsia="Times New Roman"/>
          <w:color w:val="000000" w:themeColor="text1"/>
        </w:rPr>
        <w:t>provide</w:t>
      </w:r>
      <w:r w:rsidR="00F95D35" w:rsidRPr="00D22F2E">
        <w:rPr>
          <w:rFonts w:eastAsia="Times New Roman"/>
          <w:color w:val="000000" w:themeColor="text1"/>
        </w:rPr>
        <w:t xml:space="preserve"> hot water to the rem</w:t>
      </w:r>
      <w:r w:rsidR="00E47192" w:rsidRPr="00D22F2E">
        <w:rPr>
          <w:rFonts w:eastAsia="Times New Roman"/>
          <w:color w:val="000000" w:themeColor="text1"/>
        </w:rPr>
        <w:t>a</w:t>
      </w:r>
      <w:r w:rsidR="00F95D35" w:rsidRPr="00D22F2E">
        <w:rPr>
          <w:rFonts w:eastAsia="Times New Roman"/>
          <w:color w:val="000000" w:themeColor="text1"/>
        </w:rPr>
        <w:t xml:space="preserve">ining </w:t>
      </w:r>
      <w:r w:rsidR="00F12B53" w:rsidRPr="00D22F2E">
        <w:rPr>
          <w:rFonts w:eastAsia="Times New Roman"/>
          <w:color w:val="000000" w:themeColor="text1"/>
        </w:rPr>
        <w:t xml:space="preserve">800 </w:t>
      </w:r>
      <w:r w:rsidR="00F95D35" w:rsidRPr="00D22F2E">
        <w:rPr>
          <w:rFonts w:eastAsia="Times New Roman"/>
          <w:color w:val="000000" w:themeColor="text1"/>
        </w:rPr>
        <w:t>inmates</w:t>
      </w:r>
      <w:r w:rsidR="00313CB8" w:rsidRPr="00D22F2E">
        <w:rPr>
          <w:rFonts w:eastAsia="Times New Roman"/>
          <w:color w:val="000000" w:themeColor="text1"/>
        </w:rPr>
        <w:t>,</w:t>
      </w:r>
      <w:r w:rsidR="00F95D35" w:rsidRPr="00D22F2E">
        <w:rPr>
          <w:rFonts w:eastAsia="Times New Roman"/>
          <w:color w:val="000000" w:themeColor="text1"/>
        </w:rPr>
        <w:t xml:space="preserve"> </w:t>
      </w:r>
      <w:r w:rsidR="00F12B53" w:rsidRPr="00D22F2E">
        <w:rPr>
          <w:rFonts w:eastAsia="Times New Roman"/>
          <w:color w:val="000000" w:themeColor="text1"/>
        </w:rPr>
        <w:t>by</w:t>
      </w:r>
      <w:r w:rsidR="00F95D35" w:rsidRPr="00D22F2E">
        <w:rPr>
          <w:rFonts w:eastAsia="Times New Roman"/>
          <w:color w:val="000000" w:themeColor="text1"/>
        </w:rPr>
        <w:t xml:space="preserve"> adding </w:t>
      </w:r>
      <w:r w:rsidR="00313CB8" w:rsidRPr="00D22F2E">
        <w:rPr>
          <w:rFonts w:eastAsia="Times New Roman"/>
          <w:color w:val="000000" w:themeColor="text1"/>
        </w:rPr>
        <w:t xml:space="preserve">two </w:t>
      </w:r>
      <w:r w:rsidR="00313CB8" w:rsidRPr="00D22F2E">
        <w:rPr>
          <w:color w:val="000000" w:themeColor="text1"/>
        </w:rPr>
        <w:t xml:space="preserve">prefabricated </w:t>
      </w:r>
      <w:r w:rsidR="00313CB8" w:rsidRPr="00D22F2E">
        <w:rPr>
          <w:rFonts w:eastAsia="Times New Roman"/>
          <w:color w:val="000000" w:themeColor="text1"/>
        </w:rPr>
        <w:t>water heater banks (</w:t>
      </w:r>
      <w:r w:rsidR="00F95D35" w:rsidRPr="00D22F2E">
        <w:rPr>
          <w:rFonts w:eastAsia="Times New Roman"/>
          <w:color w:val="000000" w:themeColor="text1"/>
        </w:rPr>
        <w:t>12 units</w:t>
      </w:r>
      <w:r w:rsidR="00313CB8" w:rsidRPr="00D22F2E">
        <w:rPr>
          <w:rFonts w:eastAsia="Times New Roman"/>
          <w:color w:val="000000" w:themeColor="text1"/>
        </w:rPr>
        <w:t>)</w:t>
      </w:r>
      <w:r w:rsidR="00F95D35" w:rsidRPr="00D22F2E">
        <w:rPr>
          <w:rFonts w:eastAsia="Times New Roman"/>
          <w:color w:val="000000" w:themeColor="text1"/>
        </w:rPr>
        <w:t xml:space="preserve"> </w:t>
      </w:r>
      <w:r w:rsidR="770942B1" w:rsidRPr="00D22F2E">
        <w:rPr>
          <w:rFonts w:eastAsia="Times New Roman"/>
          <w:color w:val="000000" w:themeColor="text1"/>
        </w:rPr>
        <w:t xml:space="preserve">to </w:t>
      </w:r>
      <w:r w:rsidR="00F95D35" w:rsidRPr="00D22F2E">
        <w:rPr>
          <w:rFonts w:eastAsia="Times New Roman"/>
          <w:color w:val="000000" w:themeColor="text1"/>
        </w:rPr>
        <w:t>replace the failing boilers and</w:t>
      </w:r>
      <w:r w:rsidR="00F12B53" w:rsidRPr="00D22F2E">
        <w:rPr>
          <w:rFonts w:eastAsia="Times New Roman"/>
          <w:color w:val="000000" w:themeColor="text1"/>
        </w:rPr>
        <w:t xml:space="preserve"> </w:t>
      </w:r>
      <w:r w:rsidR="1DEDCD3A" w:rsidRPr="00D22F2E">
        <w:rPr>
          <w:rFonts w:eastAsia="Times New Roman"/>
          <w:color w:val="000000" w:themeColor="text1"/>
        </w:rPr>
        <w:t>storage tanks</w:t>
      </w:r>
      <w:r w:rsidR="00F95D35" w:rsidRPr="00D22F2E">
        <w:rPr>
          <w:rFonts w:eastAsia="Times New Roman"/>
          <w:color w:val="000000" w:themeColor="text1"/>
        </w:rPr>
        <w:t xml:space="preserve">.  </w:t>
      </w:r>
    </w:p>
    <w:p w14:paraId="2B46798E" w14:textId="6076E896" w:rsidR="0049461D" w:rsidRPr="00D22F2E" w:rsidRDefault="00F12B53" w:rsidP="00F12B53">
      <w:pPr>
        <w:suppressAutoHyphens/>
        <w:spacing w:before="240" w:line="276" w:lineRule="auto"/>
        <w:rPr>
          <w:rFonts w:eastAsia="Times New Roman"/>
          <w:color w:val="000000" w:themeColor="text1"/>
        </w:rPr>
      </w:pPr>
      <w:r w:rsidRPr="00D22F2E">
        <w:rPr>
          <w:rFonts w:eastAsia="Times New Roman"/>
          <w:color w:val="000000" w:themeColor="text1"/>
        </w:rPr>
        <w:t>The last phase would</w:t>
      </w:r>
      <w:r w:rsidR="0049461D" w:rsidRPr="00D22F2E">
        <w:rPr>
          <w:rFonts w:eastAsia="Times New Roman"/>
          <w:color w:val="000000" w:themeColor="text1"/>
        </w:rPr>
        <w:t xml:space="preserve"> provide 12 more tankless units to recharge an existing 500</w:t>
      </w:r>
      <w:r w:rsidR="00E47192" w:rsidRPr="00D22F2E">
        <w:rPr>
          <w:rFonts w:eastAsia="Times New Roman"/>
          <w:color w:val="000000" w:themeColor="text1"/>
        </w:rPr>
        <w:t>-</w:t>
      </w:r>
      <w:r w:rsidR="0049461D" w:rsidRPr="00D22F2E">
        <w:rPr>
          <w:rFonts w:eastAsia="Times New Roman"/>
          <w:color w:val="000000" w:themeColor="text1"/>
        </w:rPr>
        <w:t xml:space="preserve">gallon storage tank that serviced the center’s laundry and kitchen operation. This option ensured unlimited hot water supplies by increasing system redundancy by </w:t>
      </w:r>
      <w:r w:rsidR="000772FB" w:rsidRPr="00D22F2E">
        <w:rPr>
          <w:rFonts w:eastAsia="Times New Roman"/>
          <w:color w:val="000000" w:themeColor="text1"/>
        </w:rPr>
        <w:t xml:space="preserve">a factor of </w:t>
      </w:r>
      <w:r w:rsidR="0049461D" w:rsidRPr="00D22F2E">
        <w:rPr>
          <w:rFonts w:eastAsia="Times New Roman"/>
          <w:color w:val="000000" w:themeColor="text1"/>
        </w:rPr>
        <w:t>15</w:t>
      </w:r>
      <w:r w:rsidR="000772FB" w:rsidRPr="00D22F2E">
        <w:rPr>
          <w:rFonts w:eastAsia="Times New Roman"/>
          <w:color w:val="000000" w:themeColor="text1"/>
        </w:rPr>
        <w:t>.</w:t>
      </w:r>
      <w:r w:rsidR="0049461D" w:rsidRPr="00D22F2E">
        <w:rPr>
          <w:rFonts w:eastAsia="Times New Roman"/>
          <w:color w:val="000000" w:themeColor="text1"/>
        </w:rPr>
        <w:t xml:space="preserve"> </w:t>
      </w:r>
    </w:p>
    <w:p w14:paraId="3510DBF2" w14:textId="77777777" w:rsidR="00197CF0" w:rsidRPr="003535D1" w:rsidRDefault="00197CF0" w:rsidP="00197CF0">
      <w:pPr>
        <w:rPr>
          <w:color w:val="A5300F" w:themeColor="accent1"/>
          <w:lang w:eastAsia="en-US"/>
        </w:rPr>
      </w:pPr>
    </w:p>
    <w:tbl>
      <w:tblPr>
        <w:tblStyle w:val="GridTable5Dark-Accent1"/>
        <w:tblW w:w="8355" w:type="dxa"/>
        <w:tblLook w:val="00A0" w:firstRow="1" w:lastRow="0" w:firstColumn="1" w:lastColumn="0" w:noHBand="0" w:noVBand="0"/>
      </w:tblPr>
      <w:tblGrid>
        <w:gridCol w:w="2505"/>
        <w:gridCol w:w="2430"/>
        <w:gridCol w:w="2430"/>
        <w:gridCol w:w="990"/>
      </w:tblGrid>
      <w:tr w:rsidR="00A0698A" w:rsidRPr="003535D1" w14:paraId="4D787CA7" w14:textId="6C15E821" w:rsidTr="00EE7D53">
        <w:trPr>
          <w:cnfStyle w:val="100000000000" w:firstRow="1" w:lastRow="0" w:firstColumn="0" w:lastColumn="0" w:oddVBand="0" w:evenVBand="0" w:oddHBand="0"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2505" w:type="dxa"/>
            <w:tcBorders>
              <w:top w:val="single" w:sz="12" w:space="0" w:color="000000" w:themeColor="text1"/>
              <w:left w:val="single" w:sz="12" w:space="0" w:color="000000" w:themeColor="text1"/>
              <w:right w:val="single" w:sz="12" w:space="0" w:color="BFBFBF" w:themeColor="background1" w:themeShade="BF"/>
            </w:tcBorders>
            <w:hideMark/>
          </w:tcPr>
          <w:p w14:paraId="1D93D07A" w14:textId="77777777" w:rsidR="00A0698A" w:rsidRDefault="00A0698A" w:rsidP="00340239">
            <w:pPr>
              <w:pStyle w:val="NormalWeb"/>
              <w:spacing w:before="0" w:beforeAutospacing="0" w:after="0" w:afterAutospacing="0"/>
              <w:rPr>
                <w:rFonts w:ascii="Lato" w:hAnsi="Lato"/>
                <w:b w:val="0"/>
                <w:bCs w:val="0"/>
                <w:color w:val="FADCCD" w:themeColor="accent2" w:themeTint="33"/>
                <w:sz w:val="22"/>
                <w:szCs w:val="22"/>
              </w:rPr>
            </w:pPr>
            <w:r>
              <w:rPr>
                <w:rFonts w:ascii="Lato" w:hAnsi="Lato"/>
                <w:color w:val="FADCCD" w:themeColor="accent2" w:themeTint="33"/>
                <w:sz w:val="22"/>
                <w:szCs w:val="22"/>
              </w:rPr>
              <w:t>PROJECT:</w:t>
            </w:r>
          </w:p>
          <w:p w14:paraId="3F5FEF16" w14:textId="761BA4F2" w:rsidR="00A0698A" w:rsidRPr="00340239" w:rsidRDefault="00A0698A" w:rsidP="00340239">
            <w:pPr>
              <w:pStyle w:val="NormalWeb"/>
              <w:spacing w:before="0" w:beforeAutospacing="0" w:after="0" w:afterAutospacing="0"/>
              <w:rPr>
                <w:rFonts w:ascii="Lato" w:hAnsi="Lato"/>
                <w:color w:val="FADCCD" w:themeColor="accent2" w:themeTint="33"/>
                <w:sz w:val="22"/>
                <w:szCs w:val="22"/>
              </w:rPr>
            </w:pPr>
            <w:r w:rsidRPr="00340239">
              <w:rPr>
                <w:rFonts w:ascii="Lato" w:hAnsi="Lato"/>
                <w:color w:val="FADCCD" w:themeColor="accent2" w:themeTint="33"/>
                <w:sz w:val="22"/>
                <w:szCs w:val="22"/>
              </w:rPr>
              <w:t xml:space="preserve">Oahu Community </w:t>
            </w:r>
          </w:p>
          <w:p w14:paraId="62D2A1A9" w14:textId="72F86C4E" w:rsidR="00A0698A" w:rsidRPr="00340239" w:rsidRDefault="00A0698A" w:rsidP="00340239">
            <w:pPr>
              <w:pStyle w:val="NormalWeb"/>
              <w:spacing w:before="0" w:beforeAutospacing="0" w:after="0" w:afterAutospacing="0"/>
              <w:rPr>
                <w:color w:val="FADCCD" w:themeColor="accent2" w:themeTint="33"/>
              </w:rPr>
            </w:pPr>
            <w:r w:rsidRPr="00340239">
              <w:rPr>
                <w:rFonts w:ascii="Lato" w:hAnsi="Lato"/>
                <w:color w:val="FADCCD" w:themeColor="accent2" w:themeTint="33"/>
                <w:sz w:val="22"/>
                <w:szCs w:val="22"/>
              </w:rPr>
              <w:t>Correctional Center</w:t>
            </w:r>
          </w:p>
          <w:p w14:paraId="4590CCED" w14:textId="77777777" w:rsidR="00A0698A" w:rsidRPr="00340239" w:rsidRDefault="00A0698A">
            <w:pPr>
              <w:rPr>
                <w:color w:val="FADCCD" w:themeColor="accent2" w:themeTint="33"/>
              </w:rPr>
            </w:pPr>
          </w:p>
        </w:tc>
        <w:tc>
          <w:tcPr>
            <w:cnfStyle w:val="000010000000" w:firstRow="0" w:lastRow="0" w:firstColumn="0" w:lastColumn="0" w:oddVBand="1" w:evenVBand="0" w:oddHBand="0" w:evenHBand="0" w:firstRowFirstColumn="0" w:firstRowLastColumn="0" w:lastRowFirstColumn="0" w:lastRowLastColumn="0"/>
            <w:tcW w:w="2430" w:type="dxa"/>
            <w:tcBorders>
              <w:top w:val="single" w:sz="12" w:space="0" w:color="000000" w:themeColor="text1"/>
              <w:left w:val="single" w:sz="12" w:space="0" w:color="BFBFBF" w:themeColor="background1" w:themeShade="BF"/>
              <w:right w:val="single" w:sz="12" w:space="0" w:color="BFBFBF" w:themeColor="background1" w:themeShade="BF"/>
            </w:tcBorders>
            <w:hideMark/>
          </w:tcPr>
          <w:p w14:paraId="0301D569" w14:textId="77777777" w:rsidR="00A0698A" w:rsidRDefault="00A0698A">
            <w:pPr>
              <w:pStyle w:val="NormalWeb"/>
              <w:spacing w:before="0" w:beforeAutospacing="0" w:after="0" w:afterAutospacing="0"/>
              <w:rPr>
                <w:rFonts w:ascii="Lato" w:hAnsi="Lato"/>
                <w:b w:val="0"/>
                <w:bCs w:val="0"/>
                <w:color w:val="FADCCD" w:themeColor="accent2" w:themeTint="33"/>
                <w:sz w:val="22"/>
                <w:szCs w:val="22"/>
              </w:rPr>
            </w:pPr>
            <w:r w:rsidRPr="00340239">
              <w:rPr>
                <w:rFonts w:ascii="Lato" w:hAnsi="Lato"/>
                <w:color w:val="FADCCD" w:themeColor="accent2" w:themeTint="33"/>
                <w:sz w:val="22"/>
                <w:szCs w:val="22"/>
              </w:rPr>
              <w:t xml:space="preserve">EXISTING: </w:t>
            </w:r>
          </w:p>
          <w:p w14:paraId="5F127597" w14:textId="0E202A42" w:rsidR="00A0698A" w:rsidRPr="00340239" w:rsidRDefault="00A0698A">
            <w:pPr>
              <w:pStyle w:val="NormalWeb"/>
              <w:spacing w:before="0" w:beforeAutospacing="0" w:after="0" w:afterAutospacing="0"/>
              <w:rPr>
                <w:color w:val="FADCCD" w:themeColor="accent2" w:themeTint="33"/>
              </w:rPr>
            </w:pPr>
            <w:r w:rsidRPr="00340239">
              <w:rPr>
                <w:rFonts w:ascii="Lato" w:hAnsi="Lato"/>
                <w:color w:val="FADCCD" w:themeColor="accent2" w:themeTint="33"/>
                <w:sz w:val="22"/>
                <w:szCs w:val="22"/>
              </w:rPr>
              <w:t>23-year-old 1,000,000 BTU boilers and two storage tanks </w:t>
            </w:r>
          </w:p>
        </w:tc>
        <w:tc>
          <w:tcPr>
            <w:tcW w:w="2430" w:type="dxa"/>
            <w:tcBorders>
              <w:top w:val="single" w:sz="12" w:space="0" w:color="000000" w:themeColor="text1"/>
              <w:left w:val="single" w:sz="12" w:space="0" w:color="BFBFBF" w:themeColor="background1" w:themeShade="BF"/>
              <w:right w:val="single" w:sz="12" w:space="0" w:color="000000" w:themeColor="text1"/>
            </w:tcBorders>
            <w:hideMark/>
          </w:tcPr>
          <w:p w14:paraId="4E8496DC" w14:textId="77777777" w:rsidR="00A0698A" w:rsidRDefault="00A0698A">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Lato" w:hAnsi="Lato"/>
                <w:b w:val="0"/>
                <w:bCs w:val="0"/>
                <w:color w:val="FADCCD" w:themeColor="accent2" w:themeTint="33"/>
                <w:sz w:val="22"/>
                <w:szCs w:val="22"/>
              </w:rPr>
            </w:pPr>
            <w:r w:rsidRPr="00340239">
              <w:rPr>
                <w:rFonts w:ascii="Lato" w:hAnsi="Lato"/>
                <w:color w:val="FADCCD" w:themeColor="accent2" w:themeTint="33"/>
                <w:sz w:val="22"/>
                <w:szCs w:val="22"/>
              </w:rPr>
              <w:t xml:space="preserve">NEW: </w:t>
            </w:r>
          </w:p>
          <w:p w14:paraId="421C7CDC" w14:textId="77777777" w:rsidR="00EE7D53" w:rsidRDefault="00A0698A">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Lato" w:hAnsi="Lato"/>
                <w:b w:val="0"/>
                <w:bCs w:val="0"/>
                <w:color w:val="FADCCD" w:themeColor="accent2" w:themeTint="33"/>
                <w:sz w:val="22"/>
                <w:szCs w:val="22"/>
              </w:rPr>
            </w:pPr>
            <w:r w:rsidRPr="00340239">
              <w:rPr>
                <w:rFonts w:ascii="Lato" w:hAnsi="Lato"/>
                <w:color w:val="FADCCD" w:themeColor="accent2" w:themeTint="33"/>
                <w:sz w:val="22"/>
                <w:szCs w:val="22"/>
              </w:rPr>
              <w:t xml:space="preserve">18 NCC199CDV </w:t>
            </w:r>
          </w:p>
          <w:p w14:paraId="6236055C" w14:textId="32C17118" w:rsidR="00A0698A" w:rsidRPr="00340239" w:rsidRDefault="00A0698A">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FADCCD" w:themeColor="accent2" w:themeTint="33"/>
              </w:rPr>
            </w:pPr>
            <w:r w:rsidRPr="00340239">
              <w:rPr>
                <w:rFonts w:ascii="Lato" w:hAnsi="Lato"/>
                <w:color w:val="FADCCD" w:themeColor="accent2" w:themeTint="33"/>
                <w:sz w:val="22"/>
                <w:szCs w:val="22"/>
              </w:rPr>
              <w:t>gas-fired commercial condensing tankless heaters </w:t>
            </w:r>
          </w:p>
        </w:tc>
        <w:tc>
          <w:tcPr>
            <w:cnfStyle w:val="000010000000" w:firstRow="0" w:lastRow="0" w:firstColumn="0" w:lastColumn="0" w:oddVBand="1" w:evenVBand="0" w:oddHBand="0" w:evenHBand="0" w:firstRowFirstColumn="0" w:firstRowLastColumn="0" w:lastRowFirstColumn="0" w:lastRowLastColumn="0"/>
            <w:tcW w:w="990" w:type="dxa"/>
            <w:tcBorders>
              <w:top w:val="single" w:sz="12" w:space="0" w:color="000000" w:themeColor="text1"/>
              <w:left w:val="single" w:sz="12" w:space="0" w:color="BFBFBF" w:themeColor="background1" w:themeShade="BF"/>
              <w:right w:val="single" w:sz="12" w:space="0" w:color="000000" w:themeColor="text1"/>
            </w:tcBorders>
          </w:tcPr>
          <w:p w14:paraId="1F7723B7" w14:textId="5A2FB2EC" w:rsidR="00A0698A" w:rsidRPr="00340239" w:rsidRDefault="00A0698A">
            <w:pPr>
              <w:pStyle w:val="NormalWeb"/>
              <w:spacing w:before="0" w:beforeAutospacing="0" w:after="0" w:afterAutospacing="0"/>
              <w:rPr>
                <w:rFonts w:ascii="Lato" w:hAnsi="Lato"/>
                <w:color w:val="FADCCD" w:themeColor="accent2" w:themeTint="33"/>
                <w:sz w:val="22"/>
                <w:szCs w:val="22"/>
              </w:rPr>
            </w:pPr>
            <w:r>
              <w:rPr>
                <w:rFonts w:ascii="Lato" w:hAnsi="Lato"/>
                <w:color w:val="FADCCD" w:themeColor="accent2" w:themeTint="33"/>
                <w:sz w:val="22"/>
                <w:szCs w:val="22"/>
              </w:rPr>
              <w:t>% Change</w:t>
            </w:r>
          </w:p>
        </w:tc>
      </w:tr>
      <w:tr w:rsidR="00A0698A" w:rsidRPr="003535D1" w14:paraId="2EB067BA" w14:textId="38A1E259" w:rsidTr="00EE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hideMark/>
          </w:tcPr>
          <w:p w14:paraId="2252F188" w14:textId="52B19ABC" w:rsidR="00A0698A" w:rsidRPr="00340239" w:rsidRDefault="00A0698A" w:rsidP="00EC23A3">
            <w:pPr>
              <w:pStyle w:val="NormalWeb"/>
              <w:spacing w:before="0" w:beforeAutospacing="0" w:after="0" w:afterAutospacing="0" w:line="360" w:lineRule="auto"/>
              <w:rPr>
                <w:color w:val="FADCCD" w:themeColor="accent2" w:themeTint="33"/>
              </w:rPr>
            </w:pPr>
            <w:r w:rsidRPr="00340239">
              <w:rPr>
                <w:rFonts w:ascii="Lato" w:hAnsi="Lato"/>
                <w:color w:val="FADCCD" w:themeColor="accent2" w:themeTint="33"/>
                <w:sz w:val="22"/>
                <w:szCs w:val="22"/>
              </w:rPr>
              <w:t>BTU Input</w:t>
            </w:r>
          </w:p>
        </w:tc>
        <w:tc>
          <w:tcPr>
            <w:cnfStyle w:val="000010000000" w:firstRow="0" w:lastRow="0" w:firstColumn="0" w:lastColumn="0" w:oddVBand="1" w:evenVBand="0" w:oddHBand="0" w:evenHBand="0" w:firstRowFirstColumn="0" w:firstRowLastColumn="0" w:lastRowFirstColumn="0" w:lastRowLastColumn="0"/>
            <w:tcW w:w="2430" w:type="dxa"/>
            <w:vAlign w:val="center"/>
            <w:hideMark/>
          </w:tcPr>
          <w:p w14:paraId="6308A03B" w14:textId="77777777" w:rsidR="00A0698A" w:rsidRPr="00340239" w:rsidRDefault="00A0698A" w:rsidP="00EC23A3">
            <w:pPr>
              <w:pStyle w:val="NormalWeb"/>
              <w:spacing w:before="0" w:beforeAutospacing="0" w:after="0" w:afterAutospacing="0" w:line="360" w:lineRule="auto"/>
              <w:jc w:val="center"/>
              <w:rPr>
                <w:color w:val="000000" w:themeColor="text1"/>
              </w:rPr>
            </w:pPr>
            <w:r w:rsidRPr="00340239">
              <w:rPr>
                <w:rFonts w:ascii="Lato" w:hAnsi="Lato"/>
                <w:color w:val="000000" w:themeColor="text1"/>
                <w:sz w:val="22"/>
                <w:szCs w:val="22"/>
              </w:rPr>
              <w:t>2M</w:t>
            </w:r>
          </w:p>
        </w:tc>
        <w:tc>
          <w:tcPr>
            <w:tcW w:w="2430" w:type="dxa"/>
            <w:tcBorders>
              <w:right w:val="single" w:sz="12" w:space="0" w:color="000000" w:themeColor="text1"/>
            </w:tcBorders>
            <w:vAlign w:val="center"/>
            <w:hideMark/>
          </w:tcPr>
          <w:p w14:paraId="5CF7EF9E" w14:textId="77777777" w:rsidR="00A0698A" w:rsidRPr="00340239" w:rsidRDefault="00A0698A" w:rsidP="00EC23A3">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40239">
              <w:rPr>
                <w:rFonts w:ascii="Lato" w:hAnsi="Lato"/>
                <w:color w:val="000000" w:themeColor="text1"/>
                <w:sz w:val="22"/>
                <w:szCs w:val="22"/>
              </w:rPr>
              <w:t>3.6M</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vAlign w:val="center"/>
          </w:tcPr>
          <w:p w14:paraId="35753305" w14:textId="0FF4E901" w:rsidR="00A0698A" w:rsidRPr="00340239" w:rsidRDefault="00EE7D53" w:rsidP="00EC23A3">
            <w:pPr>
              <w:pStyle w:val="NormalWeb"/>
              <w:spacing w:before="0" w:beforeAutospacing="0" w:after="0" w:afterAutospacing="0" w:line="360" w:lineRule="auto"/>
              <w:jc w:val="center"/>
              <w:rPr>
                <w:rFonts w:ascii="Lato" w:hAnsi="Lato"/>
                <w:color w:val="000000" w:themeColor="text1"/>
                <w:sz w:val="22"/>
                <w:szCs w:val="22"/>
              </w:rPr>
            </w:pPr>
            <w:r>
              <w:rPr>
                <w:rFonts w:ascii="Lato" w:hAnsi="Lato"/>
                <w:color w:val="000000" w:themeColor="text1"/>
                <w:sz w:val="22"/>
                <w:szCs w:val="22"/>
              </w:rPr>
              <w:t>+</w:t>
            </w:r>
            <w:r w:rsidR="003737AC">
              <w:rPr>
                <w:rFonts w:ascii="Lato" w:hAnsi="Lato"/>
                <w:color w:val="000000" w:themeColor="text1"/>
                <w:sz w:val="22"/>
                <w:szCs w:val="22"/>
              </w:rPr>
              <w:t>80%</w:t>
            </w:r>
          </w:p>
        </w:tc>
      </w:tr>
      <w:tr w:rsidR="00A0698A" w:rsidRPr="003535D1" w14:paraId="79D3F3EA" w14:textId="6C33139E" w:rsidTr="00EE7D53">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hideMark/>
          </w:tcPr>
          <w:p w14:paraId="4088108E" w14:textId="77777777" w:rsidR="00A0698A" w:rsidRPr="00340239" w:rsidRDefault="00A0698A" w:rsidP="00EC23A3">
            <w:pPr>
              <w:pStyle w:val="NormalWeb"/>
              <w:spacing w:before="0" w:beforeAutospacing="0" w:after="0" w:afterAutospacing="0" w:line="360" w:lineRule="auto"/>
              <w:rPr>
                <w:color w:val="FADCCD" w:themeColor="accent2" w:themeTint="33"/>
              </w:rPr>
            </w:pPr>
            <w:r w:rsidRPr="00340239">
              <w:rPr>
                <w:rFonts w:ascii="Lato" w:hAnsi="Lato"/>
                <w:color w:val="FADCCD" w:themeColor="accent2" w:themeTint="33"/>
                <w:sz w:val="22"/>
                <w:szCs w:val="22"/>
              </w:rPr>
              <w:t>Storage </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F9CEC2" w:themeFill="accent1" w:themeFillTint="33"/>
            <w:vAlign w:val="center"/>
            <w:hideMark/>
          </w:tcPr>
          <w:p w14:paraId="3EEFE417" w14:textId="77777777" w:rsidR="00A0698A" w:rsidRPr="00340239" w:rsidRDefault="00A0698A" w:rsidP="00EC23A3">
            <w:pPr>
              <w:pStyle w:val="NormalWeb"/>
              <w:spacing w:before="0" w:beforeAutospacing="0" w:after="0" w:afterAutospacing="0" w:line="360" w:lineRule="auto"/>
              <w:jc w:val="center"/>
              <w:rPr>
                <w:color w:val="000000" w:themeColor="text1"/>
              </w:rPr>
            </w:pPr>
            <w:r w:rsidRPr="00340239">
              <w:rPr>
                <w:rFonts w:ascii="Lato" w:hAnsi="Lato"/>
                <w:color w:val="000000" w:themeColor="text1"/>
                <w:sz w:val="22"/>
                <w:szCs w:val="22"/>
              </w:rPr>
              <w:t>1,000 gal.</w:t>
            </w:r>
          </w:p>
        </w:tc>
        <w:tc>
          <w:tcPr>
            <w:tcW w:w="2430" w:type="dxa"/>
            <w:tcBorders>
              <w:right w:val="single" w:sz="12" w:space="0" w:color="000000" w:themeColor="text1"/>
            </w:tcBorders>
            <w:vAlign w:val="center"/>
            <w:hideMark/>
          </w:tcPr>
          <w:p w14:paraId="140E0B4B" w14:textId="77777777" w:rsidR="00A0698A" w:rsidRPr="00340239" w:rsidRDefault="00A0698A" w:rsidP="00EC23A3">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40239">
              <w:rPr>
                <w:rFonts w:ascii="Lato" w:hAnsi="Lato"/>
                <w:color w:val="000000" w:themeColor="text1"/>
                <w:sz w:val="22"/>
                <w:szCs w:val="22"/>
              </w:rPr>
              <w:t>N/A</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shd w:val="clear" w:color="auto" w:fill="F9CEC2" w:themeFill="accent1" w:themeFillTint="33"/>
            <w:vAlign w:val="center"/>
          </w:tcPr>
          <w:p w14:paraId="7E847534" w14:textId="77777777" w:rsidR="00A0698A" w:rsidRPr="00340239" w:rsidRDefault="00A0698A" w:rsidP="00EC23A3">
            <w:pPr>
              <w:pStyle w:val="NormalWeb"/>
              <w:spacing w:before="0" w:beforeAutospacing="0" w:after="0" w:afterAutospacing="0" w:line="360" w:lineRule="auto"/>
              <w:jc w:val="center"/>
              <w:rPr>
                <w:rFonts w:ascii="Lato" w:hAnsi="Lato"/>
                <w:color w:val="000000" w:themeColor="text1"/>
                <w:sz w:val="22"/>
                <w:szCs w:val="22"/>
              </w:rPr>
            </w:pPr>
          </w:p>
        </w:tc>
      </w:tr>
      <w:tr w:rsidR="00A0698A" w:rsidRPr="003535D1" w14:paraId="572A642D" w14:textId="3A913FCE" w:rsidTr="00EE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hideMark/>
          </w:tcPr>
          <w:p w14:paraId="534156A3" w14:textId="59EEE747" w:rsidR="00A0698A" w:rsidRPr="00340239" w:rsidRDefault="00A0698A" w:rsidP="00EC23A3">
            <w:pPr>
              <w:pStyle w:val="NormalWeb"/>
              <w:spacing w:before="0" w:beforeAutospacing="0" w:after="0" w:afterAutospacing="0" w:line="360" w:lineRule="auto"/>
              <w:rPr>
                <w:color w:val="FADCCD" w:themeColor="accent2" w:themeTint="33"/>
              </w:rPr>
            </w:pPr>
            <w:r w:rsidRPr="00340239">
              <w:rPr>
                <w:rFonts w:ascii="Lato" w:hAnsi="Lato"/>
                <w:color w:val="FADCCD" w:themeColor="accent2" w:themeTint="33"/>
                <w:sz w:val="22"/>
                <w:szCs w:val="22"/>
              </w:rPr>
              <w:t xml:space="preserve">Uniform Energy Factor </w:t>
            </w:r>
          </w:p>
        </w:tc>
        <w:tc>
          <w:tcPr>
            <w:cnfStyle w:val="000010000000" w:firstRow="0" w:lastRow="0" w:firstColumn="0" w:lastColumn="0" w:oddVBand="1" w:evenVBand="0" w:oddHBand="0" w:evenHBand="0" w:firstRowFirstColumn="0" w:firstRowLastColumn="0" w:lastRowFirstColumn="0" w:lastRowLastColumn="0"/>
            <w:tcW w:w="2430" w:type="dxa"/>
            <w:vAlign w:val="center"/>
            <w:hideMark/>
          </w:tcPr>
          <w:p w14:paraId="0CA58428" w14:textId="77777777" w:rsidR="00A0698A" w:rsidRPr="00340239" w:rsidRDefault="00A0698A" w:rsidP="00EC23A3">
            <w:pPr>
              <w:pStyle w:val="NormalWeb"/>
              <w:spacing w:before="0" w:beforeAutospacing="0" w:after="0" w:afterAutospacing="0" w:line="360" w:lineRule="auto"/>
              <w:jc w:val="center"/>
              <w:rPr>
                <w:color w:val="000000" w:themeColor="text1"/>
              </w:rPr>
            </w:pPr>
            <w:r w:rsidRPr="00340239">
              <w:rPr>
                <w:rFonts w:ascii="Lato" w:hAnsi="Lato"/>
                <w:color w:val="000000" w:themeColor="text1"/>
                <w:sz w:val="22"/>
                <w:szCs w:val="22"/>
              </w:rPr>
              <w:t>.62</w:t>
            </w:r>
          </w:p>
        </w:tc>
        <w:tc>
          <w:tcPr>
            <w:tcW w:w="2430" w:type="dxa"/>
            <w:tcBorders>
              <w:right w:val="single" w:sz="12" w:space="0" w:color="000000" w:themeColor="text1"/>
            </w:tcBorders>
            <w:vAlign w:val="center"/>
            <w:hideMark/>
          </w:tcPr>
          <w:p w14:paraId="44CBBD4F" w14:textId="77777777" w:rsidR="00A0698A" w:rsidRPr="00340239" w:rsidRDefault="00A0698A" w:rsidP="00EC23A3">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40239">
              <w:rPr>
                <w:rFonts w:ascii="Lato" w:hAnsi="Lato"/>
                <w:color w:val="000000" w:themeColor="text1"/>
                <w:sz w:val="22"/>
                <w:szCs w:val="22"/>
              </w:rPr>
              <w:t>.96</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vAlign w:val="center"/>
          </w:tcPr>
          <w:p w14:paraId="71499BAC" w14:textId="082B2CE2" w:rsidR="00A0698A" w:rsidRPr="00340239" w:rsidRDefault="00A0698A" w:rsidP="00EC23A3">
            <w:pPr>
              <w:pStyle w:val="NormalWeb"/>
              <w:spacing w:before="0" w:beforeAutospacing="0" w:after="0" w:afterAutospacing="0" w:line="360" w:lineRule="auto"/>
              <w:jc w:val="center"/>
              <w:rPr>
                <w:rFonts w:ascii="Lato" w:hAnsi="Lato"/>
                <w:color w:val="000000" w:themeColor="text1"/>
                <w:sz w:val="22"/>
                <w:szCs w:val="22"/>
              </w:rPr>
            </w:pPr>
            <w:r>
              <w:rPr>
                <w:rFonts w:ascii="Lato" w:hAnsi="Lato"/>
                <w:color w:val="000000" w:themeColor="text1"/>
                <w:sz w:val="22"/>
                <w:szCs w:val="22"/>
              </w:rPr>
              <w:t>+34%</w:t>
            </w:r>
          </w:p>
        </w:tc>
      </w:tr>
      <w:tr w:rsidR="00A0698A" w:rsidRPr="003535D1" w14:paraId="44F645DB" w14:textId="2FE60D85" w:rsidTr="00EE7D53">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tcPr>
          <w:p w14:paraId="11D23808" w14:textId="6BDA548D" w:rsidR="00A0698A" w:rsidRPr="00340239" w:rsidRDefault="00A0698A" w:rsidP="00EC23A3">
            <w:pPr>
              <w:pStyle w:val="NormalWeb"/>
              <w:spacing w:before="0" w:beforeAutospacing="0" w:after="0" w:afterAutospacing="0" w:line="360" w:lineRule="auto"/>
              <w:rPr>
                <w:rFonts w:ascii="Lato" w:hAnsi="Lato"/>
                <w:color w:val="FADCCD" w:themeColor="accent2" w:themeTint="33"/>
                <w:sz w:val="22"/>
                <w:szCs w:val="22"/>
              </w:rPr>
            </w:pPr>
            <w:r>
              <w:rPr>
                <w:rFonts w:ascii="Lato" w:hAnsi="Lato"/>
                <w:color w:val="FADCCD" w:themeColor="accent2" w:themeTint="33"/>
                <w:sz w:val="22"/>
                <w:szCs w:val="22"/>
              </w:rPr>
              <w:t>GPM Recovery</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F9CEC2" w:themeFill="accent1" w:themeFillTint="33"/>
            <w:vAlign w:val="center"/>
          </w:tcPr>
          <w:p w14:paraId="48BC4952" w14:textId="268B3F0B" w:rsidR="00A0698A" w:rsidRPr="007509BD" w:rsidRDefault="00A0698A" w:rsidP="00EC23A3">
            <w:pPr>
              <w:pStyle w:val="NormalWeb"/>
              <w:spacing w:before="0" w:beforeAutospacing="0" w:after="0" w:afterAutospacing="0" w:line="360" w:lineRule="auto"/>
              <w:jc w:val="center"/>
              <w:rPr>
                <w:rFonts w:ascii="Lato" w:hAnsi="Lato"/>
                <w:color w:val="000000" w:themeColor="text1"/>
                <w:sz w:val="22"/>
                <w:szCs w:val="22"/>
              </w:rPr>
            </w:pPr>
            <w:r w:rsidRPr="007509BD">
              <w:rPr>
                <w:rFonts w:ascii="Lato" w:hAnsi="Lato"/>
                <w:color w:val="000000" w:themeColor="text1"/>
                <w:sz w:val="22"/>
                <w:szCs w:val="22"/>
              </w:rPr>
              <w:t>35.4</w:t>
            </w:r>
          </w:p>
        </w:tc>
        <w:tc>
          <w:tcPr>
            <w:tcW w:w="2430" w:type="dxa"/>
            <w:tcBorders>
              <w:right w:val="single" w:sz="12" w:space="0" w:color="000000" w:themeColor="text1"/>
            </w:tcBorders>
            <w:vAlign w:val="center"/>
          </w:tcPr>
          <w:p w14:paraId="7A55B463" w14:textId="7E834454" w:rsidR="00A0698A" w:rsidRPr="007509BD" w:rsidRDefault="00A0698A" w:rsidP="00EC23A3">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Lato" w:hAnsi="Lato"/>
                <w:color w:val="000000" w:themeColor="text1"/>
                <w:sz w:val="22"/>
                <w:szCs w:val="22"/>
              </w:rPr>
            </w:pPr>
            <w:r w:rsidRPr="007509BD">
              <w:rPr>
                <w:rFonts w:ascii="Lato" w:hAnsi="Lato"/>
                <w:color w:val="000000" w:themeColor="text1"/>
                <w:sz w:val="22"/>
                <w:szCs w:val="22"/>
              </w:rPr>
              <w:t>100.7</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shd w:val="clear" w:color="auto" w:fill="F9CEC2" w:themeFill="accent1" w:themeFillTint="33"/>
            <w:vAlign w:val="center"/>
          </w:tcPr>
          <w:p w14:paraId="27A180DC" w14:textId="72F6FFBF" w:rsidR="00A0698A" w:rsidRPr="007509BD" w:rsidRDefault="00EC23A3" w:rsidP="00EC23A3">
            <w:pPr>
              <w:pStyle w:val="NormalWeb"/>
              <w:spacing w:before="0" w:beforeAutospacing="0" w:after="0" w:afterAutospacing="0" w:line="360" w:lineRule="auto"/>
              <w:jc w:val="center"/>
              <w:rPr>
                <w:rFonts w:ascii="Lato" w:hAnsi="Lato"/>
                <w:color w:val="000000" w:themeColor="text1"/>
                <w:sz w:val="22"/>
                <w:szCs w:val="22"/>
              </w:rPr>
            </w:pPr>
            <w:r>
              <w:rPr>
                <w:rFonts w:ascii="Lato" w:hAnsi="Lato"/>
                <w:color w:val="000000" w:themeColor="text1"/>
                <w:sz w:val="22"/>
                <w:szCs w:val="22"/>
              </w:rPr>
              <w:t>+184%</w:t>
            </w:r>
          </w:p>
        </w:tc>
      </w:tr>
      <w:tr w:rsidR="00A0698A" w:rsidRPr="003535D1" w14:paraId="676564C2" w14:textId="79D92DB8" w:rsidTr="00EE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hideMark/>
          </w:tcPr>
          <w:p w14:paraId="10520272" w14:textId="5F20CB81" w:rsidR="00A0698A" w:rsidRPr="00340239" w:rsidRDefault="00A0698A" w:rsidP="00EC23A3">
            <w:pPr>
              <w:pStyle w:val="NormalWeb"/>
              <w:spacing w:before="0" w:beforeAutospacing="0" w:after="0" w:afterAutospacing="0" w:line="360" w:lineRule="auto"/>
              <w:rPr>
                <w:color w:val="FADCCD" w:themeColor="accent2" w:themeTint="33"/>
              </w:rPr>
            </w:pPr>
            <w:r>
              <w:rPr>
                <w:rFonts w:ascii="Lato" w:hAnsi="Lato"/>
                <w:color w:val="FADCCD" w:themeColor="accent2" w:themeTint="33"/>
                <w:sz w:val="22"/>
                <w:szCs w:val="22"/>
              </w:rPr>
              <w:t xml:space="preserve">Total </w:t>
            </w:r>
            <w:proofErr w:type="spellStart"/>
            <w:r>
              <w:rPr>
                <w:rFonts w:ascii="Lato" w:hAnsi="Lato"/>
                <w:color w:val="FADCCD" w:themeColor="accent2" w:themeTint="33"/>
                <w:sz w:val="22"/>
                <w:szCs w:val="22"/>
              </w:rPr>
              <w:t>BTUh</w:t>
            </w:r>
            <w:proofErr w:type="spellEnd"/>
            <w:r>
              <w:rPr>
                <w:rFonts w:ascii="Lato" w:hAnsi="Lato"/>
                <w:color w:val="FADCCD" w:themeColor="accent2" w:themeTint="33"/>
                <w:sz w:val="22"/>
                <w:szCs w:val="22"/>
              </w:rPr>
              <w:t xml:space="preserve"> Recovery</w:t>
            </w:r>
          </w:p>
        </w:tc>
        <w:tc>
          <w:tcPr>
            <w:cnfStyle w:val="000010000000" w:firstRow="0" w:lastRow="0" w:firstColumn="0" w:lastColumn="0" w:oddVBand="1" w:evenVBand="0" w:oddHBand="0" w:evenHBand="0" w:firstRowFirstColumn="0" w:firstRowLastColumn="0" w:lastRowFirstColumn="0" w:lastRowLastColumn="0"/>
            <w:tcW w:w="2430" w:type="dxa"/>
            <w:vAlign w:val="center"/>
            <w:hideMark/>
          </w:tcPr>
          <w:p w14:paraId="353478B3" w14:textId="22DCE06A" w:rsidR="00A0698A" w:rsidRPr="00A0698A" w:rsidRDefault="00A0698A" w:rsidP="00EC23A3">
            <w:pPr>
              <w:pStyle w:val="NormalWeb"/>
              <w:spacing w:before="0" w:beforeAutospacing="0" w:after="0" w:afterAutospacing="0" w:line="360" w:lineRule="auto"/>
              <w:jc w:val="center"/>
              <w:rPr>
                <w:color w:val="000000" w:themeColor="text1"/>
              </w:rPr>
            </w:pPr>
            <w:r w:rsidRPr="00A0698A">
              <w:rPr>
                <w:rFonts w:ascii="Lato" w:hAnsi="Lato"/>
                <w:color w:val="000000" w:themeColor="text1"/>
                <w:sz w:val="22"/>
                <w:szCs w:val="22"/>
              </w:rPr>
              <w:t>2.48M</w:t>
            </w:r>
          </w:p>
        </w:tc>
        <w:tc>
          <w:tcPr>
            <w:tcW w:w="2430" w:type="dxa"/>
            <w:tcBorders>
              <w:right w:val="single" w:sz="12" w:space="0" w:color="000000" w:themeColor="text1"/>
            </w:tcBorders>
            <w:vAlign w:val="center"/>
            <w:hideMark/>
          </w:tcPr>
          <w:p w14:paraId="39074817" w14:textId="35A612D5" w:rsidR="00A0698A" w:rsidRPr="00A0698A" w:rsidRDefault="00A0698A" w:rsidP="00EC23A3">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A0698A">
              <w:rPr>
                <w:rFonts w:ascii="Lato" w:hAnsi="Lato"/>
                <w:color w:val="000000" w:themeColor="text1"/>
                <w:sz w:val="22"/>
                <w:szCs w:val="22"/>
              </w:rPr>
              <w:t>3.59M</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vAlign w:val="center"/>
          </w:tcPr>
          <w:p w14:paraId="1BBBD5B8" w14:textId="60C5C207" w:rsidR="00A0698A" w:rsidRPr="00A0698A" w:rsidRDefault="00A0698A" w:rsidP="00EC23A3">
            <w:pPr>
              <w:pStyle w:val="NormalWeb"/>
              <w:spacing w:before="0" w:beforeAutospacing="0" w:after="0" w:afterAutospacing="0" w:line="360" w:lineRule="auto"/>
              <w:jc w:val="center"/>
              <w:rPr>
                <w:rFonts w:ascii="Lato" w:hAnsi="Lato"/>
                <w:color w:val="000000" w:themeColor="text1"/>
                <w:sz w:val="22"/>
                <w:szCs w:val="22"/>
              </w:rPr>
            </w:pPr>
            <w:r>
              <w:rPr>
                <w:rFonts w:ascii="Lato" w:hAnsi="Lato"/>
                <w:color w:val="000000" w:themeColor="text1"/>
                <w:sz w:val="22"/>
                <w:szCs w:val="22"/>
              </w:rPr>
              <w:t>+</w:t>
            </w:r>
            <w:r w:rsidRPr="00A0698A">
              <w:rPr>
                <w:rFonts w:ascii="Lato" w:hAnsi="Lato"/>
                <w:color w:val="000000" w:themeColor="text1"/>
                <w:sz w:val="22"/>
                <w:szCs w:val="22"/>
              </w:rPr>
              <w:t>45%</w:t>
            </w:r>
          </w:p>
        </w:tc>
      </w:tr>
      <w:tr w:rsidR="00A0698A" w:rsidRPr="003535D1" w14:paraId="55BAFB81" w14:textId="1002C0A6" w:rsidTr="00EE7D53">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hideMark/>
          </w:tcPr>
          <w:p w14:paraId="37D74E7A" w14:textId="7B659B5C" w:rsidR="00A0698A" w:rsidRPr="00340239" w:rsidRDefault="00A0698A" w:rsidP="00EE7D53">
            <w:pPr>
              <w:pStyle w:val="NormalWeb"/>
              <w:spacing w:before="0" w:beforeAutospacing="0" w:after="0" w:afterAutospacing="0" w:line="276" w:lineRule="auto"/>
              <w:rPr>
                <w:color w:val="FADCCD" w:themeColor="accent2" w:themeTint="33"/>
              </w:rPr>
            </w:pPr>
            <w:r w:rsidRPr="00340239">
              <w:rPr>
                <w:rFonts w:ascii="Lato" w:hAnsi="Lato"/>
                <w:color w:val="FADCCD" w:themeColor="accent2" w:themeTint="33"/>
                <w:sz w:val="22"/>
                <w:szCs w:val="22"/>
              </w:rPr>
              <w:t xml:space="preserve">Operational </w:t>
            </w:r>
            <w:r>
              <w:rPr>
                <w:rFonts w:ascii="Lato" w:hAnsi="Lato"/>
                <w:color w:val="FADCCD" w:themeColor="accent2" w:themeTint="33"/>
                <w:sz w:val="22"/>
                <w:szCs w:val="22"/>
              </w:rPr>
              <w:br/>
            </w:r>
            <w:r w:rsidRPr="00340239">
              <w:rPr>
                <w:rFonts w:ascii="Lato" w:hAnsi="Lato"/>
                <w:color w:val="FADCCD" w:themeColor="accent2" w:themeTint="33"/>
                <w:sz w:val="22"/>
                <w:szCs w:val="22"/>
              </w:rPr>
              <w:t>Redundancy</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F9CEC2" w:themeFill="accent1" w:themeFillTint="33"/>
            <w:vAlign w:val="center"/>
            <w:hideMark/>
          </w:tcPr>
          <w:p w14:paraId="59EA7CA7" w14:textId="77777777" w:rsidR="00A0698A" w:rsidRPr="00340239" w:rsidRDefault="00A0698A" w:rsidP="00EC23A3">
            <w:pPr>
              <w:pStyle w:val="NormalWeb"/>
              <w:spacing w:before="0" w:beforeAutospacing="0" w:after="0" w:afterAutospacing="0" w:line="360" w:lineRule="auto"/>
              <w:jc w:val="center"/>
              <w:rPr>
                <w:color w:val="000000" w:themeColor="text1"/>
              </w:rPr>
            </w:pPr>
            <w:r w:rsidRPr="00340239">
              <w:rPr>
                <w:rFonts w:ascii="Lato" w:hAnsi="Lato"/>
                <w:color w:val="000000" w:themeColor="text1"/>
                <w:sz w:val="22"/>
                <w:szCs w:val="22"/>
              </w:rPr>
              <w:t>2x</w:t>
            </w:r>
          </w:p>
        </w:tc>
        <w:tc>
          <w:tcPr>
            <w:tcW w:w="2430" w:type="dxa"/>
            <w:tcBorders>
              <w:right w:val="single" w:sz="12" w:space="0" w:color="000000" w:themeColor="text1"/>
            </w:tcBorders>
            <w:vAlign w:val="center"/>
            <w:hideMark/>
          </w:tcPr>
          <w:p w14:paraId="13BD06CF" w14:textId="77777777" w:rsidR="00A0698A" w:rsidRPr="00340239" w:rsidRDefault="00A0698A" w:rsidP="00EC23A3">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40239">
              <w:rPr>
                <w:rFonts w:ascii="Lato" w:hAnsi="Lato"/>
                <w:color w:val="000000" w:themeColor="text1"/>
                <w:sz w:val="22"/>
                <w:szCs w:val="22"/>
              </w:rPr>
              <w:t>15x</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shd w:val="clear" w:color="auto" w:fill="F9CEC2" w:themeFill="accent1" w:themeFillTint="33"/>
            <w:vAlign w:val="center"/>
          </w:tcPr>
          <w:p w14:paraId="54A55ABF" w14:textId="6465252E" w:rsidR="00A0698A" w:rsidRPr="00340239" w:rsidRDefault="00EC23A3" w:rsidP="00EC23A3">
            <w:pPr>
              <w:pStyle w:val="NormalWeb"/>
              <w:spacing w:before="0" w:beforeAutospacing="0" w:after="0" w:afterAutospacing="0" w:line="360" w:lineRule="auto"/>
              <w:jc w:val="center"/>
              <w:rPr>
                <w:rFonts w:ascii="Lato" w:hAnsi="Lato"/>
                <w:color w:val="000000" w:themeColor="text1"/>
                <w:sz w:val="22"/>
                <w:szCs w:val="22"/>
              </w:rPr>
            </w:pPr>
            <w:r>
              <w:rPr>
                <w:rFonts w:ascii="Lato" w:hAnsi="Lato"/>
                <w:color w:val="000000" w:themeColor="text1"/>
                <w:sz w:val="22"/>
                <w:szCs w:val="22"/>
              </w:rPr>
              <w:t>+13x</w:t>
            </w:r>
          </w:p>
        </w:tc>
      </w:tr>
      <w:tr w:rsidR="00A0698A" w:rsidRPr="003535D1" w14:paraId="7DA8F7A4" w14:textId="6697454C" w:rsidTr="00EE7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tcBorders>
            <w:vAlign w:val="center"/>
          </w:tcPr>
          <w:p w14:paraId="03E97203" w14:textId="3A187BF0" w:rsidR="00A0698A" w:rsidRPr="00340239" w:rsidRDefault="00A0698A" w:rsidP="00EC23A3">
            <w:pPr>
              <w:pStyle w:val="NormalWeb"/>
              <w:spacing w:before="0" w:beforeAutospacing="0" w:after="0" w:afterAutospacing="0" w:line="360" w:lineRule="auto"/>
              <w:rPr>
                <w:rFonts w:ascii="Lato" w:hAnsi="Lato"/>
                <w:color w:val="FADCCD" w:themeColor="accent2" w:themeTint="33"/>
                <w:sz w:val="22"/>
                <w:szCs w:val="22"/>
              </w:rPr>
            </w:pPr>
            <w:r w:rsidRPr="00340239">
              <w:rPr>
                <w:rFonts w:ascii="Lato" w:hAnsi="Lato"/>
                <w:color w:val="FADCCD" w:themeColor="accent2" w:themeTint="33"/>
                <w:sz w:val="22"/>
                <w:szCs w:val="22"/>
              </w:rPr>
              <w:t>Turn Down Radio</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DC791FE" w14:textId="58576A72" w:rsidR="00A0698A" w:rsidRPr="00340239" w:rsidRDefault="00A0698A" w:rsidP="00EC23A3">
            <w:pPr>
              <w:pStyle w:val="NormalWeb"/>
              <w:spacing w:before="0" w:beforeAutospacing="0" w:after="0" w:afterAutospacing="0" w:line="360" w:lineRule="auto"/>
              <w:jc w:val="center"/>
              <w:rPr>
                <w:rFonts w:ascii="Lato" w:hAnsi="Lato"/>
                <w:color w:val="000000" w:themeColor="text1"/>
                <w:sz w:val="22"/>
                <w:szCs w:val="22"/>
              </w:rPr>
            </w:pPr>
            <w:r w:rsidRPr="00340239">
              <w:rPr>
                <w:rFonts w:ascii="Lato" w:hAnsi="Lato"/>
                <w:color w:val="000000" w:themeColor="text1"/>
                <w:sz w:val="22"/>
                <w:szCs w:val="22"/>
              </w:rPr>
              <w:t>4:1</w:t>
            </w:r>
          </w:p>
        </w:tc>
        <w:tc>
          <w:tcPr>
            <w:tcW w:w="2430" w:type="dxa"/>
            <w:tcBorders>
              <w:right w:val="single" w:sz="12" w:space="0" w:color="000000" w:themeColor="text1"/>
            </w:tcBorders>
            <w:vAlign w:val="center"/>
          </w:tcPr>
          <w:p w14:paraId="5C3879E4" w14:textId="2C9B8376" w:rsidR="00A0698A" w:rsidRPr="00340239" w:rsidRDefault="00A0698A" w:rsidP="00EC23A3">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2"/>
                <w:szCs w:val="22"/>
              </w:rPr>
            </w:pPr>
            <w:r w:rsidRPr="00340239">
              <w:rPr>
                <w:rFonts w:ascii="Lato" w:hAnsi="Lato"/>
                <w:color w:val="000000" w:themeColor="text1"/>
                <w:sz w:val="22"/>
                <w:szCs w:val="22"/>
              </w:rPr>
              <w:t>198:1</w:t>
            </w:r>
          </w:p>
        </w:tc>
        <w:tc>
          <w:tcPr>
            <w:cnfStyle w:val="000010000000" w:firstRow="0" w:lastRow="0" w:firstColumn="0" w:lastColumn="0" w:oddVBand="1" w:evenVBand="0" w:oddHBand="0" w:evenHBand="0" w:firstRowFirstColumn="0" w:firstRowLastColumn="0" w:lastRowFirstColumn="0" w:lastRowLastColumn="0"/>
            <w:tcW w:w="990" w:type="dxa"/>
            <w:tcBorders>
              <w:right w:val="single" w:sz="12" w:space="0" w:color="000000" w:themeColor="text1"/>
            </w:tcBorders>
            <w:vAlign w:val="center"/>
          </w:tcPr>
          <w:p w14:paraId="544A74BC" w14:textId="77777777" w:rsidR="00A0698A" w:rsidRPr="00340239" w:rsidRDefault="00A0698A" w:rsidP="00EC23A3">
            <w:pPr>
              <w:pStyle w:val="NormalWeb"/>
              <w:spacing w:before="0" w:beforeAutospacing="0" w:after="0" w:afterAutospacing="0" w:line="360" w:lineRule="auto"/>
              <w:jc w:val="center"/>
              <w:rPr>
                <w:rFonts w:ascii="Lato" w:hAnsi="Lato"/>
                <w:color w:val="000000" w:themeColor="text1"/>
                <w:sz w:val="22"/>
                <w:szCs w:val="22"/>
              </w:rPr>
            </w:pPr>
          </w:p>
        </w:tc>
      </w:tr>
      <w:tr w:rsidR="00A0698A" w:rsidRPr="003535D1" w14:paraId="26392071" w14:textId="2B07B376" w:rsidTr="00EE7D53">
        <w:tc>
          <w:tcPr>
            <w:cnfStyle w:val="001000000000" w:firstRow="0" w:lastRow="0" w:firstColumn="1" w:lastColumn="0" w:oddVBand="0" w:evenVBand="0" w:oddHBand="0" w:evenHBand="0" w:firstRowFirstColumn="0" w:firstRowLastColumn="0" w:lastRowFirstColumn="0" w:lastRowLastColumn="0"/>
            <w:tcW w:w="2505" w:type="dxa"/>
            <w:tcBorders>
              <w:left w:val="single" w:sz="12" w:space="0" w:color="000000" w:themeColor="text1"/>
              <w:bottom w:val="single" w:sz="12" w:space="0" w:color="000000" w:themeColor="text1"/>
            </w:tcBorders>
            <w:vAlign w:val="center"/>
            <w:hideMark/>
          </w:tcPr>
          <w:p w14:paraId="2954B800" w14:textId="77777777" w:rsidR="00A0698A" w:rsidRPr="00340239" w:rsidRDefault="00A0698A" w:rsidP="00EC23A3">
            <w:pPr>
              <w:pStyle w:val="NormalWeb"/>
              <w:spacing w:before="0" w:beforeAutospacing="0" w:after="0" w:afterAutospacing="0" w:line="360" w:lineRule="auto"/>
              <w:rPr>
                <w:color w:val="FADCCD" w:themeColor="accent2" w:themeTint="33"/>
              </w:rPr>
            </w:pPr>
            <w:r w:rsidRPr="00340239">
              <w:rPr>
                <w:rFonts w:ascii="Lato" w:hAnsi="Lato"/>
                <w:color w:val="FADCCD" w:themeColor="accent2" w:themeTint="33"/>
                <w:sz w:val="22"/>
                <w:szCs w:val="22"/>
              </w:rPr>
              <w:t>Installation</w:t>
            </w:r>
          </w:p>
        </w:tc>
        <w:tc>
          <w:tcPr>
            <w:cnfStyle w:val="000010000000" w:firstRow="0" w:lastRow="0" w:firstColumn="0" w:lastColumn="0" w:oddVBand="1" w:evenVBand="0" w:oddHBand="0" w:evenHBand="0" w:firstRowFirstColumn="0" w:firstRowLastColumn="0" w:lastRowFirstColumn="0" w:lastRowLastColumn="0"/>
            <w:tcW w:w="2430" w:type="dxa"/>
            <w:tcBorders>
              <w:bottom w:val="single" w:sz="12" w:space="0" w:color="000000" w:themeColor="text1"/>
            </w:tcBorders>
            <w:shd w:val="clear" w:color="auto" w:fill="F9CEC2" w:themeFill="accent1" w:themeFillTint="33"/>
            <w:vAlign w:val="center"/>
            <w:hideMark/>
          </w:tcPr>
          <w:p w14:paraId="32239E22" w14:textId="51CEE4B2" w:rsidR="00A0698A" w:rsidRPr="00340239" w:rsidRDefault="00A0698A" w:rsidP="00EC23A3">
            <w:pPr>
              <w:pStyle w:val="NormalWeb"/>
              <w:spacing w:before="0" w:beforeAutospacing="0" w:after="0" w:afterAutospacing="0" w:line="360" w:lineRule="auto"/>
              <w:jc w:val="center"/>
              <w:rPr>
                <w:color w:val="000000" w:themeColor="text1"/>
              </w:rPr>
            </w:pPr>
            <w:r>
              <w:rPr>
                <w:rFonts w:ascii="Lato" w:hAnsi="Lato"/>
                <w:color w:val="000000" w:themeColor="text1"/>
                <w:sz w:val="22"/>
                <w:szCs w:val="22"/>
              </w:rPr>
              <w:t>Aerial</w:t>
            </w:r>
            <w:r w:rsidRPr="00340239">
              <w:rPr>
                <w:rFonts w:ascii="Lato" w:hAnsi="Lato"/>
                <w:color w:val="000000" w:themeColor="text1"/>
                <w:sz w:val="22"/>
                <w:szCs w:val="22"/>
              </w:rPr>
              <w:t xml:space="preserve"> </w:t>
            </w:r>
            <w:r>
              <w:rPr>
                <w:rFonts w:ascii="Lato" w:hAnsi="Lato"/>
                <w:color w:val="000000" w:themeColor="text1"/>
                <w:sz w:val="22"/>
                <w:szCs w:val="22"/>
              </w:rPr>
              <w:t>c</w:t>
            </w:r>
            <w:r w:rsidRPr="00340239">
              <w:rPr>
                <w:rFonts w:ascii="Lato" w:hAnsi="Lato"/>
                <w:color w:val="000000" w:themeColor="text1"/>
                <w:sz w:val="22"/>
                <w:szCs w:val="22"/>
              </w:rPr>
              <w:t>ran</w:t>
            </w:r>
            <w:r>
              <w:rPr>
                <w:rFonts w:ascii="Lato" w:hAnsi="Lato"/>
                <w:color w:val="000000" w:themeColor="text1"/>
                <w:sz w:val="22"/>
                <w:szCs w:val="22"/>
              </w:rPr>
              <w:t>e</w:t>
            </w:r>
          </w:p>
        </w:tc>
        <w:tc>
          <w:tcPr>
            <w:tcW w:w="2430" w:type="dxa"/>
            <w:tcBorders>
              <w:bottom w:val="single" w:sz="12" w:space="0" w:color="000000" w:themeColor="text1"/>
              <w:right w:val="single" w:sz="12" w:space="0" w:color="000000" w:themeColor="text1"/>
            </w:tcBorders>
            <w:vAlign w:val="center"/>
            <w:hideMark/>
          </w:tcPr>
          <w:p w14:paraId="1B7658CB" w14:textId="7A1F161B" w:rsidR="00A0698A" w:rsidRPr="00340239" w:rsidRDefault="00A0698A" w:rsidP="00EE7D53">
            <w:pPr>
              <w:pStyle w:val="NormalWeb"/>
              <w:spacing w:before="0" w:beforeAutospacing="0" w:after="0" w:afterAutospacing="0"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40239">
              <w:rPr>
                <w:rFonts w:ascii="Lato" w:hAnsi="Lato"/>
                <w:color w:val="000000" w:themeColor="text1"/>
                <w:sz w:val="22"/>
                <w:szCs w:val="22"/>
              </w:rPr>
              <w:t xml:space="preserve">Skid-mounted </w:t>
            </w:r>
            <w:r>
              <w:rPr>
                <w:rFonts w:ascii="Lato" w:hAnsi="Lato"/>
                <w:color w:val="000000" w:themeColor="text1"/>
                <w:sz w:val="22"/>
                <w:szCs w:val="22"/>
              </w:rPr>
              <w:t>/</w:t>
            </w:r>
            <w:r>
              <w:rPr>
                <w:rFonts w:ascii="Lato" w:hAnsi="Lato"/>
                <w:color w:val="000000" w:themeColor="text1"/>
                <w:sz w:val="22"/>
                <w:szCs w:val="22"/>
              </w:rPr>
              <w:br/>
              <w:t xml:space="preserve">Hand </w:t>
            </w:r>
            <w:r w:rsidRPr="00340239">
              <w:rPr>
                <w:rFonts w:ascii="Lato" w:hAnsi="Lato"/>
                <w:color w:val="000000" w:themeColor="text1"/>
                <w:sz w:val="22"/>
                <w:szCs w:val="22"/>
              </w:rPr>
              <w:t>dolly</w:t>
            </w:r>
          </w:p>
        </w:tc>
        <w:tc>
          <w:tcPr>
            <w:cnfStyle w:val="000010000000" w:firstRow="0" w:lastRow="0" w:firstColumn="0" w:lastColumn="0" w:oddVBand="1" w:evenVBand="0" w:oddHBand="0" w:evenHBand="0" w:firstRowFirstColumn="0" w:firstRowLastColumn="0" w:lastRowFirstColumn="0" w:lastRowLastColumn="0"/>
            <w:tcW w:w="990" w:type="dxa"/>
            <w:tcBorders>
              <w:bottom w:val="single" w:sz="12" w:space="0" w:color="000000" w:themeColor="text1"/>
              <w:right w:val="single" w:sz="12" w:space="0" w:color="000000" w:themeColor="text1"/>
            </w:tcBorders>
            <w:shd w:val="clear" w:color="auto" w:fill="F9CEC2" w:themeFill="accent1" w:themeFillTint="33"/>
            <w:vAlign w:val="center"/>
          </w:tcPr>
          <w:p w14:paraId="617C8524" w14:textId="77777777" w:rsidR="00A0698A" w:rsidRPr="00340239" w:rsidRDefault="00A0698A" w:rsidP="00EC23A3">
            <w:pPr>
              <w:pStyle w:val="NormalWeb"/>
              <w:spacing w:before="0" w:beforeAutospacing="0" w:after="0" w:afterAutospacing="0" w:line="360" w:lineRule="auto"/>
              <w:jc w:val="center"/>
              <w:rPr>
                <w:rFonts w:ascii="Lato" w:hAnsi="Lato"/>
                <w:color w:val="000000" w:themeColor="text1"/>
                <w:sz w:val="22"/>
                <w:szCs w:val="22"/>
              </w:rPr>
            </w:pPr>
          </w:p>
        </w:tc>
      </w:tr>
    </w:tbl>
    <w:p w14:paraId="38275623" w14:textId="77777777" w:rsidR="00197CF0" w:rsidRDefault="00197CF0" w:rsidP="00705C9E">
      <w:pPr>
        <w:spacing w:line="360" w:lineRule="auto"/>
      </w:pPr>
    </w:p>
    <w:p w14:paraId="56176E2C" w14:textId="1752C7F1" w:rsidR="00312CB4" w:rsidRPr="00D22F2E" w:rsidRDefault="00312CB4" w:rsidP="00197CF0">
      <w:pPr>
        <w:suppressAutoHyphens/>
        <w:spacing w:before="240" w:line="276" w:lineRule="auto"/>
        <w:rPr>
          <w:rFonts w:eastAsia="Times New Roman"/>
          <w:b/>
          <w:bCs/>
          <w:color w:val="000000" w:themeColor="text1"/>
          <w:sz w:val="26"/>
          <w:szCs w:val="26"/>
        </w:rPr>
      </w:pPr>
      <w:r w:rsidRPr="00D22F2E">
        <w:rPr>
          <w:rFonts w:eastAsia="Times New Roman"/>
          <w:b/>
          <w:bCs/>
          <w:color w:val="000000" w:themeColor="text1"/>
          <w:sz w:val="26"/>
          <w:szCs w:val="26"/>
        </w:rPr>
        <w:t>The Tankless Advantage</w:t>
      </w:r>
    </w:p>
    <w:p w14:paraId="5BEA759C" w14:textId="241247E6" w:rsidR="00312CB4" w:rsidRPr="00D22F2E" w:rsidRDefault="00312CB4" w:rsidP="00E729B1">
      <w:pPr>
        <w:suppressAutoHyphens/>
        <w:spacing w:before="240" w:line="276" w:lineRule="auto"/>
        <w:rPr>
          <w:rFonts w:eastAsia="Times New Roman"/>
          <w:color w:val="000000" w:themeColor="text1"/>
        </w:rPr>
      </w:pPr>
      <w:r w:rsidRPr="00D22F2E">
        <w:rPr>
          <w:rFonts w:eastAsia="Times New Roman"/>
          <w:color w:val="000000" w:themeColor="text1"/>
        </w:rPr>
        <w:t xml:space="preserve">Manufactured by Noritz America, </w:t>
      </w:r>
      <w:r w:rsidR="0003596B" w:rsidRPr="00D22F2E">
        <w:rPr>
          <w:rFonts w:eastAsia="Times New Roman"/>
          <w:color w:val="000000" w:themeColor="text1"/>
        </w:rPr>
        <w:t xml:space="preserve">all of the tankless </w:t>
      </w:r>
      <w:r w:rsidRPr="00D22F2E">
        <w:rPr>
          <w:rFonts w:eastAsia="Times New Roman"/>
          <w:color w:val="000000" w:themeColor="text1"/>
        </w:rPr>
        <w:t xml:space="preserve">units at the </w:t>
      </w:r>
      <w:r w:rsidRPr="00D22F2E">
        <w:rPr>
          <w:color w:val="000000" w:themeColor="text1"/>
        </w:rPr>
        <w:t>Oahu Community Correctional Center</w:t>
      </w:r>
      <w:r w:rsidRPr="00D22F2E">
        <w:rPr>
          <w:rFonts w:eastAsia="Times New Roman"/>
          <w:color w:val="000000" w:themeColor="text1"/>
        </w:rPr>
        <w:t xml:space="preserve"> are Model No. </w:t>
      </w:r>
      <w:r w:rsidRPr="00D22F2E">
        <w:rPr>
          <w:color w:val="000000" w:themeColor="text1"/>
        </w:rPr>
        <w:t>NCC199CDV</w:t>
      </w:r>
      <w:r w:rsidR="00A74261" w:rsidRPr="00D22F2E">
        <w:rPr>
          <w:rFonts w:eastAsia="Times New Roman"/>
          <w:color w:val="000000" w:themeColor="text1"/>
        </w:rPr>
        <w:t xml:space="preserve"> that have</w:t>
      </w:r>
      <w:r w:rsidRPr="00D22F2E">
        <w:rPr>
          <w:rFonts w:eastAsia="Times New Roman"/>
          <w:color w:val="000000" w:themeColor="text1"/>
        </w:rPr>
        <w:t xml:space="preserve"> a maximum flow rate of 11.1 gallons per minute and gas consumption from 1</w:t>
      </w:r>
      <w:r w:rsidR="003F4114" w:rsidRPr="00D22F2E">
        <w:rPr>
          <w:rFonts w:eastAsia="Times New Roman"/>
          <w:color w:val="000000" w:themeColor="text1"/>
        </w:rPr>
        <w:t>8</w:t>
      </w:r>
      <w:r w:rsidRPr="00D22F2E">
        <w:rPr>
          <w:rFonts w:eastAsia="Times New Roman"/>
          <w:color w:val="000000" w:themeColor="text1"/>
        </w:rPr>
        <w:t xml:space="preserve">,000 to 199,900 BTU/hour. </w:t>
      </w:r>
      <w:r w:rsidR="00E87FA6" w:rsidRPr="00D22F2E">
        <w:rPr>
          <w:rFonts w:eastAsia="Times New Roman"/>
          <w:color w:val="000000" w:themeColor="text1"/>
        </w:rPr>
        <w:t>The heaters offer a</w:t>
      </w:r>
      <w:r w:rsidR="00E47192" w:rsidRPr="00D22F2E">
        <w:rPr>
          <w:rFonts w:eastAsia="Times New Roman"/>
          <w:color w:val="000000" w:themeColor="text1"/>
        </w:rPr>
        <w:t xml:space="preserve">n </w:t>
      </w:r>
      <w:r w:rsidR="003F4114" w:rsidRPr="00D22F2E">
        <w:rPr>
          <w:rFonts w:eastAsia="Times New Roman"/>
          <w:color w:val="000000" w:themeColor="text1"/>
        </w:rPr>
        <w:t>11:1 Turn Down Ratio</w:t>
      </w:r>
      <w:r w:rsidR="00D63745" w:rsidRPr="00D22F2E">
        <w:rPr>
          <w:rFonts w:eastAsia="Times New Roman"/>
          <w:color w:val="000000" w:themeColor="text1"/>
        </w:rPr>
        <w:t xml:space="preserve"> and</w:t>
      </w:r>
      <w:r w:rsidR="00E87FA6" w:rsidRPr="00D22F2E">
        <w:rPr>
          <w:rFonts w:eastAsia="Times New Roman"/>
          <w:color w:val="000000" w:themeColor="text1"/>
        </w:rPr>
        <w:t xml:space="preserve"> 0.96</w:t>
      </w:r>
      <w:r w:rsidR="00E47192" w:rsidRPr="00D22F2E">
        <w:rPr>
          <w:rFonts w:eastAsia="Times New Roman"/>
          <w:color w:val="000000" w:themeColor="text1"/>
        </w:rPr>
        <w:t xml:space="preserve"> </w:t>
      </w:r>
      <w:r w:rsidR="00D63745" w:rsidRPr="00D22F2E">
        <w:rPr>
          <w:rFonts w:eastAsia="Times New Roman"/>
          <w:color w:val="000000" w:themeColor="text1"/>
        </w:rPr>
        <w:t>UEF</w:t>
      </w:r>
      <w:r w:rsidR="00E87FA6" w:rsidRPr="00D22F2E">
        <w:rPr>
          <w:rFonts w:eastAsia="Times New Roman"/>
          <w:color w:val="000000" w:themeColor="text1"/>
        </w:rPr>
        <w:t xml:space="preserve"> Uniform Energy Factor, the newest measure of water heater overall efficiency. </w:t>
      </w:r>
      <w:r w:rsidR="00EE7D53">
        <w:rPr>
          <w:rFonts w:eastAsia="Times New Roman"/>
          <w:color w:val="000000" w:themeColor="text1"/>
        </w:rPr>
        <w:t xml:space="preserve">The stronger UEF would boost efficiency 34 percent above the previous heaters. </w:t>
      </w:r>
      <w:r w:rsidR="000772FB" w:rsidRPr="00D22F2E">
        <w:rPr>
          <w:rFonts w:eastAsia="Times New Roman"/>
          <w:color w:val="000000" w:themeColor="text1"/>
        </w:rPr>
        <w:t xml:space="preserve">The higher Turn Down Ratio offered additional heating levels; </w:t>
      </w:r>
      <w:proofErr w:type="gramStart"/>
      <w:r w:rsidR="000772FB" w:rsidRPr="00D22F2E">
        <w:rPr>
          <w:rFonts w:eastAsia="Times New Roman"/>
          <w:color w:val="000000" w:themeColor="text1"/>
        </w:rPr>
        <w:t>so</w:t>
      </w:r>
      <w:proofErr w:type="gramEnd"/>
      <w:r w:rsidR="000772FB" w:rsidRPr="00D22F2E">
        <w:rPr>
          <w:rFonts w:eastAsia="Times New Roman"/>
          <w:color w:val="000000" w:themeColor="text1"/>
        </w:rPr>
        <w:t xml:space="preserve"> where the existing boiler could only operate at 500,000 or 1,000,000 BTUs, the new tankless units could incrementally raise output across 11 heating levels to better meet demand. </w:t>
      </w:r>
      <w:r w:rsidR="00E87FA6" w:rsidRPr="00D22F2E">
        <w:rPr>
          <w:rFonts w:eastAsia="Times New Roman"/>
          <w:color w:val="000000" w:themeColor="text1"/>
        </w:rPr>
        <w:t xml:space="preserve">The higher the UEF value, the more efficiently a unit converts energy into heat. </w:t>
      </w:r>
    </w:p>
    <w:p w14:paraId="6667446E" w14:textId="7EA271D4" w:rsidR="00880110" w:rsidRPr="00D22F2E" w:rsidRDefault="00880110" w:rsidP="00880110">
      <w:pPr>
        <w:suppressAutoHyphens/>
        <w:spacing w:before="240" w:line="276" w:lineRule="auto"/>
        <w:rPr>
          <w:color w:val="000000" w:themeColor="text1"/>
        </w:rPr>
      </w:pPr>
      <w:r w:rsidRPr="00D22F2E">
        <w:rPr>
          <w:color w:val="000000" w:themeColor="text1"/>
        </w:rPr>
        <w:t>“Gas is a critical fuel for Hawaii’s resiliency in emergencies and severe weather events, and we</w:t>
      </w:r>
      <w:r w:rsidRPr="00D22F2E">
        <w:rPr>
          <w:rFonts w:eastAsia="Times New Roman"/>
          <w:color w:val="000000" w:themeColor="text1"/>
        </w:rPr>
        <w:t xml:space="preserve"> </w:t>
      </w:r>
      <w:r w:rsidRPr="00D22F2E">
        <w:rPr>
          <w:color w:val="000000" w:themeColor="text1"/>
        </w:rPr>
        <w:t xml:space="preserve">have made preparations statewide to keep our customers supplied with natural </w:t>
      </w:r>
      <w:r w:rsidRPr="00D22F2E">
        <w:rPr>
          <w:color w:val="000000" w:themeColor="text1"/>
        </w:rPr>
        <w:lastRenderedPageBreak/>
        <w:t xml:space="preserve">gas,” says </w:t>
      </w:r>
      <w:r w:rsidR="00A223B6">
        <w:rPr>
          <w:color w:val="000000" w:themeColor="text1"/>
        </w:rPr>
        <w:t>Yee</w:t>
      </w:r>
      <w:r w:rsidRPr="00D22F2E">
        <w:rPr>
          <w:color w:val="000000" w:themeColor="text1"/>
        </w:rPr>
        <w:t xml:space="preserve">. “In fact, we </w:t>
      </w:r>
      <w:r w:rsidRPr="00D22F2E">
        <w:rPr>
          <w:rFonts w:eastAsia="Times New Roman"/>
          <w:color w:val="000000" w:themeColor="text1"/>
        </w:rPr>
        <w:t xml:space="preserve">haven’t lost service delivery to our customers since </w:t>
      </w:r>
      <w:r w:rsidR="363EA609" w:rsidRPr="00D22F2E">
        <w:rPr>
          <w:rFonts w:eastAsia="Times New Roman"/>
          <w:color w:val="000000" w:themeColor="text1"/>
        </w:rPr>
        <w:t>the Pearl Ha</w:t>
      </w:r>
      <w:r w:rsidR="5B48E277" w:rsidRPr="00D22F2E">
        <w:rPr>
          <w:rFonts w:eastAsia="Times New Roman"/>
          <w:color w:val="000000" w:themeColor="text1"/>
        </w:rPr>
        <w:t>rbo</w:t>
      </w:r>
      <w:r w:rsidR="363EA609" w:rsidRPr="00D22F2E">
        <w:rPr>
          <w:rFonts w:eastAsia="Times New Roman"/>
          <w:color w:val="000000" w:themeColor="text1"/>
        </w:rPr>
        <w:t>r Attac</w:t>
      </w:r>
      <w:r w:rsidR="6CB0416F" w:rsidRPr="00D22F2E">
        <w:rPr>
          <w:rFonts w:eastAsia="Times New Roman"/>
          <w:color w:val="000000" w:themeColor="text1"/>
        </w:rPr>
        <w:t xml:space="preserve">k in </w:t>
      </w:r>
      <w:r w:rsidRPr="00D22F2E">
        <w:rPr>
          <w:rFonts w:eastAsia="Times New Roman"/>
          <w:color w:val="000000" w:themeColor="text1"/>
        </w:rPr>
        <w:t>1941.”</w:t>
      </w:r>
    </w:p>
    <w:p w14:paraId="2F3A0E9E" w14:textId="110E441C" w:rsidR="000913D6" w:rsidRPr="00D22F2E" w:rsidRDefault="00E60784" w:rsidP="00E729B1">
      <w:pPr>
        <w:suppressAutoHyphens/>
        <w:spacing w:before="240" w:line="276" w:lineRule="auto"/>
        <w:rPr>
          <w:color w:val="000000" w:themeColor="text1"/>
        </w:rPr>
      </w:pPr>
      <w:r w:rsidRPr="00D22F2E">
        <w:rPr>
          <w:rFonts w:eastAsia="Times New Roman"/>
          <w:color w:val="000000" w:themeColor="text1"/>
        </w:rPr>
        <w:t xml:space="preserve">The team then </w:t>
      </w:r>
      <w:r w:rsidR="00B201B2" w:rsidRPr="00D22F2E">
        <w:rPr>
          <w:rFonts w:eastAsia="Times New Roman"/>
          <w:color w:val="000000" w:themeColor="text1"/>
        </w:rPr>
        <w:t xml:space="preserve">outlined their plan with </w:t>
      </w:r>
      <w:r w:rsidR="00735A94" w:rsidRPr="00D22F2E">
        <w:rPr>
          <w:color w:val="000000" w:themeColor="text1"/>
        </w:rPr>
        <w:t xml:space="preserve">contractor </w:t>
      </w:r>
      <w:r w:rsidRPr="00D22F2E">
        <w:rPr>
          <w:color w:val="000000" w:themeColor="text1"/>
          <w:u w:val="single"/>
        </w:rPr>
        <w:t>Mason Hasegawa</w:t>
      </w:r>
      <w:r w:rsidR="003726CE" w:rsidRPr="00D22F2E">
        <w:rPr>
          <w:color w:val="000000" w:themeColor="text1"/>
        </w:rPr>
        <w:t>,</w:t>
      </w:r>
      <w:r w:rsidRPr="00D22F2E">
        <w:rPr>
          <w:color w:val="000000" w:themeColor="text1"/>
        </w:rPr>
        <w:t xml:space="preserve"> with Honolulu-based Mason's Plumbing Service</w:t>
      </w:r>
      <w:r w:rsidR="00735A94" w:rsidRPr="00D22F2E">
        <w:rPr>
          <w:color w:val="000000" w:themeColor="text1"/>
        </w:rPr>
        <w:t>, who</w:t>
      </w:r>
      <w:r w:rsidR="004E30D5" w:rsidRPr="00D22F2E">
        <w:rPr>
          <w:color w:val="000000" w:themeColor="text1"/>
        </w:rPr>
        <w:t xml:space="preserve"> estimates </w:t>
      </w:r>
      <w:r w:rsidR="000913D6" w:rsidRPr="00D22F2E">
        <w:rPr>
          <w:color w:val="000000" w:themeColor="text1"/>
        </w:rPr>
        <w:t>he installs tankless heaters twice as frequently as conventional storage tank-type heaters.</w:t>
      </w:r>
    </w:p>
    <w:p w14:paraId="693D8676" w14:textId="5873EFD4" w:rsidR="00B201B2" w:rsidRPr="00D22F2E" w:rsidRDefault="00B201B2" w:rsidP="00E729B1">
      <w:pPr>
        <w:suppressAutoHyphens/>
        <w:spacing w:before="240" w:line="276" w:lineRule="auto"/>
        <w:rPr>
          <w:color w:val="000000" w:themeColor="text1"/>
        </w:rPr>
      </w:pPr>
      <w:r w:rsidRPr="00D22F2E">
        <w:rPr>
          <w:color w:val="000000" w:themeColor="text1"/>
        </w:rPr>
        <w:t>“Using tankless heaters for this project was</w:t>
      </w:r>
      <w:r w:rsidRPr="00D22F2E">
        <w:rPr>
          <w:rFonts w:eastAsia="Times New Roman"/>
          <w:color w:val="000000" w:themeColor="text1"/>
        </w:rPr>
        <w:t xml:space="preserve"> two or three times less expensive and </w:t>
      </w:r>
      <w:r w:rsidRPr="00D22F2E">
        <w:rPr>
          <w:color w:val="000000" w:themeColor="text1"/>
        </w:rPr>
        <w:t xml:space="preserve">about 100 times </w:t>
      </w:r>
      <w:r w:rsidRPr="00D22F2E">
        <w:rPr>
          <w:rFonts w:eastAsia="Times New Roman"/>
          <w:color w:val="000000" w:themeColor="text1"/>
        </w:rPr>
        <w:t xml:space="preserve">easier than adding a new replacement boiler and storage tank,” explains the </w:t>
      </w:r>
      <w:r w:rsidRPr="00D22F2E">
        <w:rPr>
          <w:color w:val="000000" w:themeColor="text1"/>
        </w:rPr>
        <w:t>47-year plumbing</w:t>
      </w:r>
      <w:r w:rsidR="003726CE" w:rsidRPr="00D22F2E">
        <w:rPr>
          <w:color w:val="000000" w:themeColor="text1"/>
        </w:rPr>
        <w:t>-</w:t>
      </w:r>
      <w:r w:rsidRPr="00D22F2E">
        <w:rPr>
          <w:color w:val="000000" w:themeColor="text1"/>
        </w:rPr>
        <w:t>industry veteran.</w:t>
      </w:r>
      <w:r w:rsidRPr="00D22F2E">
        <w:rPr>
          <w:rFonts w:eastAsia="Times New Roman"/>
          <w:color w:val="000000" w:themeColor="text1"/>
        </w:rPr>
        <w:t xml:space="preserve">  “A new boiler would take weeks to </w:t>
      </w:r>
      <w:r w:rsidR="00735A94" w:rsidRPr="00D22F2E">
        <w:rPr>
          <w:rFonts w:eastAsia="Times New Roman"/>
          <w:color w:val="000000" w:themeColor="text1"/>
        </w:rPr>
        <w:t>install, cost</w:t>
      </w:r>
      <w:r w:rsidRPr="00D22F2E">
        <w:rPr>
          <w:rFonts w:eastAsia="Times New Roman"/>
          <w:color w:val="000000" w:themeColor="text1"/>
        </w:rPr>
        <w:t xml:space="preserve"> more to operate, and still offer </w:t>
      </w:r>
      <w:r w:rsidR="003726CE" w:rsidRPr="00D22F2E">
        <w:rPr>
          <w:rFonts w:eastAsia="Times New Roman"/>
          <w:color w:val="000000" w:themeColor="text1"/>
        </w:rPr>
        <w:t xml:space="preserve">only </w:t>
      </w:r>
      <w:r w:rsidR="00E87FA6" w:rsidRPr="00D22F2E">
        <w:rPr>
          <w:rFonts w:eastAsia="Times New Roman"/>
          <w:color w:val="000000" w:themeColor="text1"/>
        </w:rPr>
        <w:t>0.</w:t>
      </w:r>
      <w:r w:rsidRPr="00D22F2E">
        <w:rPr>
          <w:rFonts w:eastAsia="Times New Roman"/>
          <w:color w:val="000000" w:themeColor="text1"/>
        </w:rPr>
        <w:t>70-</w:t>
      </w:r>
      <w:r w:rsidR="00E87FA6" w:rsidRPr="00D22F2E">
        <w:rPr>
          <w:rFonts w:eastAsia="Times New Roman"/>
          <w:color w:val="000000" w:themeColor="text1"/>
        </w:rPr>
        <w:t>0.</w:t>
      </w:r>
      <w:r w:rsidRPr="00D22F2E">
        <w:rPr>
          <w:rFonts w:eastAsia="Times New Roman"/>
          <w:color w:val="000000" w:themeColor="text1"/>
        </w:rPr>
        <w:t xml:space="preserve">87 </w:t>
      </w:r>
      <w:r w:rsidR="00E87FA6" w:rsidRPr="00D22F2E">
        <w:rPr>
          <w:rFonts w:eastAsia="Times New Roman"/>
          <w:color w:val="000000" w:themeColor="text1"/>
        </w:rPr>
        <w:t>UEF</w:t>
      </w:r>
      <w:r w:rsidR="00E47192" w:rsidRPr="00D22F2E">
        <w:rPr>
          <w:rFonts w:eastAsia="Times New Roman"/>
          <w:color w:val="000000" w:themeColor="text1"/>
        </w:rPr>
        <w:t xml:space="preserve">; </w:t>
      </w:r>
      <w:r w:rsidRPr="00D22F2E">
        <w:rPr>
          <w:rFonts w:eastAsia="Times New Roman"/>
          <w:color w:val="000000" w:themeColor="text1"/>
        </w:rPr>
        <w:t xml:space="preserve">compared </w:t>
      </w:r>
      <w:r w:rsidR="00E87FA6" w:rsidRPr="00D22F2E">
        <w:rPr>
          <w:rFonts w:eastAsia="Times New Roman"/>
          <w:color w:val="000000" w:themeColor="text1"/>
        </w:rPr>
        <w:t xml:space="preserve">with a </w:t>
      </w:r>
      <w:r w:rsidR="00EB2BB1" w:rsidRPr="00D22F2E">
        <w:rPr>
          <w:rFonts w:eastAsia="Times New Roman"/>
          <w:color w:val="000000" w:themeColor="text1"/>
        </w:rPr>
        <w:t xml:space="preserve">0.96 </w:t>
      </w:r>
      <w:r w:rsidR="00E87FA6" w:rsidRPr="00D22F2E">
        <w:rPr>
          <w:rFonts w:eastAsia="Times New Roman"/>
          <w:color w:val="000000" w:themeColor="text1"/>
        </w:rPr>
        <w:t xml:space="preserve">UEF </w:t>
      </w:r>
      <w:r w:rsidRPr="00D22F2E">
        <w:rPr>
          <w:rFonts w:eastAsia="Times New Roman"/>
          <w:color w:val="000000" w:themeColor="text1"/>
        </w:rPr>
        <w:t>rate provided by the tankless solution.”</w:t>
      </w:r>
    </w:p>
    <w:p w14:paraId="2A989657" w14:textId="77777777" w:rsidR="00EE7D53" w:rsidRDefault="00EE7D53" w:rsidP="00E729B1">
      <w:pPr>
        <w:suppressAutoHyphens/>
        <w:spacing w:before="240" w:line="276" w:lineRule="auto"/>
        <w:rPr>
          <w:rFonts w:eastAsia="Times New Roman"/>
          <w:color w:val="000000" w:themeColor="text1"/>
          <w:shd w:val="clear" w:color="auto" w:fill="FFFFFF"/>
          <w:lang w:eastAsia="en-US"/>
        </w:rPr>
      </w:pPr>
      <w:r>
        <w:rPr>
          <w:rFonts w:eastAsia="Times New Roman"/>
          <w:color w:val="000000" w:themeColor="text1"/>
          <w:shd w:val="clear" w:color="auto" w:fill="FFFFFF"/>
          <w:lang w:eastAsia="en-US"/>
        </w:rPr>
        <w:t>The move to tankless also improved the facility’s potential hot water output, with a 184 percent increase in GPM Recovery rates.</w:t>
      </w:r>
    </w:p>
    <w:p w14:paraId="65A013C1" w14:textId="3ACC56E1" w:rsidR="00735A94" w:rsidRPr="00D22F2E" w:rsidRDefault="00735A94" w:rsidP="00E729B1">
      <w:pPr>
        <w:suppressAutoHyphens/>
        <w:spacing w:before="240" w:line="276" w:lineRule="auto"/>
        <w:rPr>
          <w:rFonts w:eastAsia="Times New Roman"/>
          <w:color w:val="000000" w:themeColor="text1"/>
        </w:rPr>
      </w:pPr>
      <w:r w:rsidRPr="00D22F2E">
        <w:rPr>
          <w:rFonts w:eastAsia="Times New Roman"/>
          <w:color w:val="000000" w:themeColor="text1"/>
          <w:shd w:val="clear" w:color="auto" w:fill="FFFFFF"/>
          <w:lang w:eastAsia="en-US"/>
        </w:rPr>
        <w:t xml:space="preserve">Both </w:t>
      </w:r>
      <w:r w:rsidRPr="00D22F2E">
        <w:rPr>
          <w:color w:val="000000" w:themeColor="text1"/>
        </w:rPr>
        <w:t xml:space="preserve">Hasegawa and </w:t>
      </w:r>
      <w:r w:rsidR="004E30D5" w:rsidRPr="00D22F2E">
        <w:rPr>
          <w:rFonts w:eastAsia="Times New Roman"/>
          <w:color w:val="000000" w:themeColor="text1"/>
        </w:rPr>
        <w:t xml:space="preserve">Gonzalez were pleased with the team’s decision to install </w:t>
      </w:r>
      <w:r w:rsidR="004E30D5" w:rsidRPr="00D22F2E">
        <w:rPr>
          <w:color w:val="000000" w:themeColor="text1"/>
        </w:rPr>
        <w:t>multiple tankless units</w:t>
      </w:r>
      <w:r w:rsidR="003726CE" w:rsidRPr="00D22F2E">
        <w:rPr>
          <w:color w:val="000000" w:themeColor="text1"/>
        </w:rPr>
        <w:t>,</w:t>
      </w:r>
      <w:r w:rsidR="004E30D5" w:rsidRPr="00D22F2E">
        <w:rPr>
          <w:color w:val="000000" w:themeColor="text1"/>
        </w:rPr>
        <w:t xml:space="preserve"> </w:t>
      </w:r>
      <w:r w:rsidR="00880110" w:rsidRPr="00D22F2E">
        <w:rPr>
          <w:color w:val="000000" w:themeColor="text1"/>
        </w:rPr>
        <w:t xml:space="preserve">as this approach will </w:t>
      </w:r>
      <w:r w:rsidR="004E30D5" w:rsidRPr="00D22F2E">
        <w:rPr>
          <w:color w:val="000000" w:themeColor="text1"/>
        </w:rPr>
        <w:t>offer a level of operational redundancy that was not previously possible.</w:t>
      </w:r>
    </w:p>
    <w:p w14:paraId="14EB374A" w14:textId="1B29AE9F" w:rsidR="00732AAA" w:rsidRPr="00D22F2E" w:rsidRDefault="00732AAA" w:rsidP="00E729B1">
      <w:pPr>
        <w:suppressAutoHyphens/>
        <w:spacing w:before="240" w:line="276" w:lineRule="auto"/>
        <w:rPr>
          <w:color w:val="000000" w:themeColor="text1"/>
        </w:rPr>
      </w:pPr>
      <w:r w:rsidRPr="00D22F2E">
        <w:rPr>
          <w:rFonts w:eastAsia="Times New Roman"/>
          <w:color w:val="000000" w:themeColor="text1"/>
          <w:lang w:eastAsia="en-US"/>
        </w:rPr>
        <w:t xml:space="preserve"> “You see a lot of commercial and institutional applications with one or two </w:t>
      </w:r>
      <w:r w:rsidR="00CD654E" w:rsidRPr="00D22F2E">
        <w:rPr>
          <w:rFonts w:eastAsia="Times New Roman"/>
          <w:color w:val="000000" w:themeColor="text1"/>
          <w:lang w:eastAsia="en-US"/>
        </w:rPr>
        <w:t>boilers feed</w:t>
      </w:r>
      <w:r w:rsidRPr="00D22F2E">
        <w:rPr>
          <w:rFonts w:eastAsia="Times New Roman"/>
          <w:color w:val="000000" w:themeColor="text1"/>
          <w:lang w:eastAsia="en-US"/>
        </w:rPr>
        <w:t>ing storage tanks</w:t>
      </w:r>
      <w:r w:rsidR="003726CE" w:rsidRPr="00D22F2E">
        <w:rPr>
          <w:rFonts w:eastAsia="Times New Roman"/>
          <w:color w:val="000000" w:themeColor="text1"/>
          <w:lang w:eastAsia="en-US"/>
        </w:rPr>
        <w:t>,</w:t>
      </w:r>
      <w:r w:rsidRPr="00D22F2E">
        <w:rPr>
          <w:rFonts w:eastAsia="Times New Roman"/>
          <w:color w:val="000000" w:themeColor="text1"/>
          <w:lang w:eastAsia="en-US"/>
        </w:rPr>
        <w:t xml:space="preserve"> whose total storage capacity roughly matches the peak demand of the project</w:t>
      </w:r>
      <w:r w:rsidR="004E30D5" w:rsidRPr="00D22F2E">
        <w:rPr>
          <w:rFonts w:eastAsia="Times New Roman"/>
          <w:color w:val="000000" w:themeColor="text1"/>
          <w:lang w:eastAsia="en-US"/>
        </w:rPr>
        <w:t xml:space="preserve">,” explains </w:t>
      </w:r>
      <w:r w:rsidR="004E30D5" w:rsidRPr="00D22F2E">
        <w:rPr>
          <w:rFonts w:eastAsia="Times New Roman"/>
          <w:color w:val="000000" w:themeColor="text1"/>
        </w:rPr>
        <w:t>Gonzalez</w:t>
      </w:r>
      <w:r w:rsidRPr="00D22F2E">
        <w:rPr>
          <w:rFonts w:eastAsia="Times New Roman"/>
          <w:color w:val="000000" w:themeColor="text1"/>
          <w:lang w:eastAsia="en-US"/>
        </w:rPr>
        <w:t xml:space="preserve">. </w:t>
      </w:r>
      <w:r w:rsidR="004E30D5" w:rsidRPr="00D22F2E">
        <w:rPr>
          <w:rFonts w:eastAsia="Times New Roman"/>
          <w:color w:val="000000" w:themeColor="text1"/>
          <w:lang w:eastAsia="en-US"/>
        </w:rPr>
        <w:t>“</w:t>
      </w:r>
      <w:r w:rsidRPr="00D22F2E">
        <w:rPr>
          <w:rFonts w:eastAsia="Times New Roman"/>
          <w:color w:val="000000" w:themeColor="text1"/>
          <w:lang w:eastAsia="en-US"/>
        </w:rPr>
        <w:t>As a result, if one goes down, the operation doesn’t have enough hot water.</w:t>
      </w:r>
      <w:r w:rsidR="00E60784" w:rsidRPr="00D22F2E">
        <w:rPr>
          <w:rFonts w:eastAsia="Times New Roman"/>
          <w:color w:val="000000" w:themeColor="text1"/>
          <w:lang w:eastAsia="en-US"/>
        </w:rPr>
        <w:t>”</w:t>
      </w:r>
    </w:p>
    <w:p w14:paraId="1EB4DD1D" w14:textId="3BB42339" w:rsidR="00732AAA" w:rsidRPr="00D22F2E" w:rsidRDefault="00732AAA" w:rsidP="00E729B1">
      <w:pPr>
        <w:shd w:val="clear" w:color="auto" w:fill="FFFFFF"/>
        <w:suppressAutoHyphens/>
        <w:spacing w:before="240" w:line="276" w:lineRule="auto"/>
        <w:rPr>
          <w:rFonts w:eastAsia="Times New Roman"/>
          <w:color w:val="000000" w:themeColor="text1"/>
          <w:lang w:eastAsia="en-US"/>
        </w:rPr>
      </w:pPr>
      <w:r w:rsidRPr="00D22F2E">
        <w:rPr>
          <w:rFonts w:eastAsia="Times New Roman"/>
          <w:color w:val="000000" w:themeColor="text1"/>
          <w:lang w:eastAsia="en-US"/>
        </w:rPr>
        <w:t xml:space="preserve">“A multi-unit tankless job frequently involves three or more units, so each water heater contributes a smaller share of the overall demand,” he continues. “If one or even two must be </w:t>
      </w:r>
      <w:proofErr w:type="spellStart"/>
      <w:r w:rsidRPr="00D22F2E">
        <w:rPr>
          <w:rFonts w:eastAsia="Times New Roman"/>
          <w:color w:val="000000" w:themeColor="text1"/>
          <w:lang w:eastAsia="en-US"/>
        </w:rPr>
        <w:t>valved</w:t>
      </w:r>
      <w:proofErr w:type="spellEnd"/>
      <w:r w:rsidR="003726CE" w:rsidRPr="00D22F2E">
        <w:rPr>
          <w:rFonts w:eastAsia="Times New Roman"/>
          <w:color w:val="000000" w:themeColor="text1"/>
          <w:lang w:eastAsia="en-US"/>
        </w:rPr>
        <w:t>-</w:t>
      </w:r>
      <w:r w:rsidRPr="00D22F2E">
        <w:rPr>
          <w:rFonts w:eastAsia="Times New Roman"/>
          <w:color w:val="000000" w:themeColor="text1"/>
          <w:lang w:eastAsia="en-US"/>
        </w:rPr>
        <w:t xml:space="preserve">off for maintenance, the remaining units can </w:t>
      </w:r>
      <w:r w:rsidR="00880110" w:rsidRPr="00D22F2E">
        <w:rPr>
          <w:rFonts w:eastAsia="Times New Roman"/>
          <w:color w:val="000000" w:themeColor="text1"/>
          <w:lang w:eastAsia="en-US"/>
        </w:rPr>
        <w:t xml:space="preserve">activate and offset </w:t>
      </w:r>
      <w:r w:rsidRPr="00D22F2E">
        <w:rPr>
          <w:rFonts w:eastAsia="Times New Roman"/>
          <w:color w:val="000000" w:themeColor="text1"/>
          <w:lang w:eastAsia="en-US"/>
        </w:rPr>
        <w:t>the loss in output, bringing supply much closer to maximum building demand.”</w:t>
      </w:r>
    </w:p>
    <w:p w14:paraId="0F3F2A4A" w14:textId="38F5D451" w:rsidR="004E30D5" w:rsidRPr="00D22F2E" w:rsidRDefault="004E30D5" w:rsidP="00E729B1">
      <w:pPr>
        <w:suppressAutoHyphens/>
        <w:spacing w:before="240" w:line="276" w:lineRule="auto"/>
        <w:rPr>
          <w:rFonts w:eastAsia="Times New Roman"/>
          <w:color w:val="000000" w:themeColor="text1"/>
        </w:rPr>
      </w:pPr>
      <w:r w:rsidRPr="00D22F2E">
        <w:rPr>
          <w:color w:val="000000" w:themeColor="text1"/>
        </w:rPr>
        <w:t xml:space="preserve">Unit redundancy was very important to ensure sufficient hot water, says </w:t>
      </w:r>
      <w:r w:rsidR="00D4446C">
        <w:rPr>
          <w:color w:val="000000" w:themeColor="text1"/>
          <w:lang w:eastAsia="en-US"/>
        </w:rPr>
        <w:t>Yee</w:t>
      </w:r>
      <w:r w:rsidRPr="00D22F2E">
        <w:rPr>
          <w:color w:val="000000" w:themeColor="text1"/>
          <w:lang w:eastAsia="en-US"/>
        </w:rPr>
        <w:t xml:space="preserve">, who notes </w:t>
      </w:r>
      <w:r w:rsidRPr="00D22F2E">
        <w:rPr>
          <w:rFonts w:eastAsia="Times New Roman"/>
          <w:color w:val="000000" w:themeColor="text1"/>
        </w:rPr>
        <w:t xml:space="preserve">that Hawaii Gas supplies the OCCC with renewable natural gas that is blended with </w:t>
      </w:r>
      <w:r w:rsidR="00E47192" w:rsidRPr="00D22F2E">
        <w:rPr>
          <w:rFonts w:eastAsia="Times New Roman"/>
          <w:color w:val="000000" w:themeColor="text1"/>
        </w:rPr>
        <w:t>locally produced</w:t>
      </w:r>
      <w:r w:rsidRPr="00D22F2E">
        <w:rPr>
          <w:rFonts w:eastAsia="Times New Roman"/>
          <w:color w:val="000000" w:themeColor="text1"/>
        </w:rPr>
        <w:t xml:space="preserve"> natural gas for the heaters</w:t>
      </w:r>
      <w:r w:rsidR="003726CE" w:rsidRPr="00D22F2E">
        <w:rPr>
          <w:rFonts w:eastAsia="Times New Roman"/>
          <w:color w:val="000000" w:themeColor="text1"/>
        </w:rPr>
        <w:t>, which</w:t>
      </w:r>
      <w:r w:rsidRPr="00D22F2E">
        <w:rPr>
          <w:rFonts w:eastAsia="Times New Roman"/>
          <w:color w:val="000000" w:themeColor="text1"/>
        </w:rPr>
        <w:t xml:space="preserve"> can operate on either </w:t>
      </w:r>
      <w:r w:rsidR="003726CE" w:rsidRPr="00D22F2E">
        <w:rPr>
          <w:rFonts w:eastAsia="Times New Roman"/>
          <w:color w:val="000000" w:themeColor="text1"/>
        </w:rPr>
        <w:t>fuel type</w:t>
      </w:r>
      <w:r w:rsidRPr="00D22F2E">
        <w:rPr>
          <w:rFonts w:eastAsia="Times New Roman"/>
          <w:color w:val="000000" w:themeColor="text1"/>
        </w:rPr>
        <w:t>. </w:t>
      </w:r>
    </w:p>
    <w:p w14:paraId="054600F9" w14:textId="49DEFC78" w:rsidR="004E30D5" w:rsidRPr="00D22F2E" w:rsidRDefault="004E30D5" w:rsidP="00E729B1">
      <w:pPr>
        <w:suppressAutoHyphens/>
        <w:spacing w:before="240" w:line="276" w:lineRule="auto"/>
        <w:rPr>
          <w:rFonts w:eastAsia="Times New Roman"/>
          <w:b/>
          <w:bCs/>
          <w:color w:val="000000" w:themeColor="text1"/>
        </w:rPr>
      </w:pPr>
      <w:r w:rsidRPr="00D22F2E">
        <w:rPr>
          <w:rFonts w:eastAsia="Times New Roman"/>
          <w:color w:val="000000" w:themeColor="text1"/>
        </w:rPr>
        <w:t xml:space="preserve">“From a utility perspective, we want to ensure detainees are provided with their basic human needs, and the folks who work in these facilities have the highest level of safety standards possible,” notes </w:t>
      </w:r>
      <w:r w:rsidR="00D4446C">
        <w:rPr>
          <w:color w:val="000000" w:themeColor="text1"/>
          <w:lang w:eastAsia="en-US"/>
        </w:rPr>
        <w:t>Yee</w:t>
      </w:r>
      <w:r w:rsidRPr="00D22F2E">
        <w:rPr>
          <w:color w:val="000000" w:themeColor="text1"/>
          <w:lang w:eastAsia="en-US"/>
        </w:rPr>
        <w:t>.</w:t>
      </w:r>
    </w:p>
    <w:p w14:paraId="238FC11E" w14:textId="2AB23FD1" w:rsidR="00871CFD" w:rsidRPr="00D22F2E" w:rsidRDefault="00871CFD" w:rsidP="00E729B1">
      <w:pPr>
        <w:suppressAutoHyphens/>
        <w:spacing w:before="240" w:line="276" w:lineRule="auto"/>
        <w:rPr>
          <w:color w:val="000000" w:themeColor="text1"/>
        </w:rPr>
      </w:pPr>
      <w:r w:rsidRPr="00D22F2E">
        <w:rPr>
          <w:color w:val="000000" w:themeColor="text1"/>
        </w:rPr>
        <w:t xml:space="preserve">Unlike traditional storage water heaters, tankless water heaters use a powerful burner </w:t>
      </w:r>
      <w:r w:rsidR="003F4114" w:rsidRPr="00D22F2E">
        <w:rPr>
          <w:color w:val="000000" w:themeColor="text1"/>
        </w:rPr>
        <w:t xml:space="preserve">and heat exchanger design </w:t>
      </w:r>
      <w:r w:rsidRPr="00D22F2E">
        <w:rPr>
          <w:color w:val="000000" w:themeColor="text1"/>
        </w:rPr>
        <w:t xml:space="preserve">to quickly heat incoming water to the set point temperature. They activate only when a fixture is turned on and cease heating once it is off. This ensures energy efficiency because the </w:t>
      </w:r>
      <w:r w:rsidR="009A30B6" w:rsidRPr="00D22F2E">
        <w:rPr>
          <w:color w:val="000000" w:themeColor="text1"/>
        </w:rPr>
        <w:t xml:space="preserve">on-demand </w:t>
      </w:r>
      <w:r w:rsidRPr="00D22F2E">
        <w:rPr>
          <w:color w:val="000000" w:themeColor="text1"/>
        </w:rPr>
        <w:t>heater</w:t>
      </w:r>
      <w:r w:rsidR="009A30B6" w:rsidRPr="00D22F2E">
        <w:rPr>
          <w:color w:val="000000" w:themeColor="text1"/>
        </w:rPr>
        <w:t>s</w:t>
      </w:r>
      <w:r w:rsidRPr="00D22F2E">
        <w:rPr>
          <w:color w:val="000000" w:themeColor="text1"/>
        </w:rPr>
        <w:t xml:space="preserve"> </w:t>
      </w:r>
      <w:r w:rsidR="009A30B6" w:rsidRPr="00D22F2E">
        <w:rPr>
          <w:color w:val="000000" w:themeColor="text1"/>
        </w:rPr>
        <w:t xml:space="preserve">are </w:t>
      </w:r>
      <w:r w:rsidRPr="00D22F2E">
        <w:rPr>
          <w:color w:val="000000" w:themeColor="text1"/>
        </w:rPr>
        <w:t>not constantly heating stored water.</w:t>
      </w:r>
    </w:p>
    <w:p w14:paraId="18966A3A" w14:textId="2844E46B" w:rsidR="00455AD4" w:rsidRPr="00D22F2E" w:rsidRDefault="00E87FA6" w:rsidP="00E729B1">
      <w:pPr>
        <w:suppressAutoHyphens/>
        <w:spacing w:before="240" w:line="276" w:lineRule="auto"/>
        <w:rPr>
          <w:color w:val="000000" w:themeColor="text1"/>
        </w:rPr>
      </w:pPr>
      <w:r w:rsidRPr="00D22F2E">
        <w:rPr>
          <w:color w:val="000000" w:themeColor="text1"/>
        </w:rPr>
        <w:lastRenderedPageBreak/>
        <w:t>Hasegawa installed the first phase of six tankless heaters that were wall</w:t>
      </w:r>
      <w:r w:rsidR="00E47192" w:rsidRPr="00D22F2E">
        <w:rPr>
          <w:color w:val="000000" w:themeColor="text1"/>
        </w:rPr>
        <w:t>-</w:t>
      </w:r>
      <w:r w:rsidRPr="00D22F2E">
        <w:rPr>
          <w:color w:val="000000" w:themeColor="text1"/>
        </w:rPr>
        <w:t xml:space="preserve">mounted, while </w:t>
      </w:r>
      <w:r w:rsidR="00455AD4" w:rsidRPr="00D22F2E">
        <w:rPr>
          <w:color w:val="000000" w:themeColor="text1"/>
        </w:rPr>
        <w:t xml:space="preserve">phases two and three required </w:t>
      </w:r>
      <w:r w:rsidRPr="00D22F2E">
        <w:rPr>
          <w:color w:val="000000" w:themeColor="text1"/>
        </w:rPr>
        <w:t>a</w:t>
      </w:r>
      <w:r w:rsidR="00455AD4" w:rsidRPr="00D22F2E">
        <w:rPr>
          <w:color w:val="000000" w:themeColor="text1"/>
        </w:rPr>
        <w:t xml:space="preserve"> total of four floor-mounted rack units, each configured with six heaters, installed by</w:t>
      </w:r>
      <w:r w:rsidR="00FD452A" w:rsidRPr="00D22F2E">
        <w:rPr>
          <w:color w:val="000000" w:themeColor="text1"/>
        </w:rPr>
        <w:t xml:space="preserve"> Oahu-based </w:t>
      </w:r>
      <w:r w:rsidR="003F4114" w:rsidRPr="00D22F2E">
        <w:rPr>
          <w:color w:val="000000" w:themeColor="text1"/>
        </w:rPr>
        <w:t>Economy Plumbing</w:t>
      </w:r>
      <w:r w:rsidR="00455AD4" w:rsidRPr="00D22F2E">
        <w:rPr>
          <w:color w:val="000000" w:themeColor="text1"/>
        </w:rPr>
        <w:t>.</w:t>
      </w:r>
    </w:p>
    <w:p w14:paraId="1A4D8029" w14:textId="089011B8" w:rsidR="00455AD4" w:rsidRPr="00D22F2E" w:rsidRDefault="00616107" w:rsidP="00455AD4">
      <w:pPr>
        <w:suppressAutoHyphens/>
        <w:spacing w:before="240" w:line="276" w:lineRule="auto"/>
        <w:rPr>
          <w:color w:val="000000" w:themeColor="text1"/>
        </w:rPr>
      </w:pPr>
      <w:r w:rsidRPr="00D22F2E">
        <w:rPr>
          <w:color w:val="000000" w:themeColor="text1"/>
        </w:rPr>
        <w:t xml:space="preserve">The rack units </w:t>
      </w:r>
      <w:r w:rsidR="00455AD4" w:rsidRPr="00D22F2E">
        <w:rPr>
          <w:color w:val="000000" w:themeColor="text1"/>
        </w:rPr>
        <w:t>used the same Noritz heaters</w:t>
      </w:r>
      <w:r w:rsidRPr="00D22F2E">
        <w:rPr>
          <w:color w:val="000000" w:themeColor="text1"/>
        </w:rPr>
        <w:t xml:space="preserve"> as phase one</w:t>
      </w:r>
      <w:r w:rsidR="00455AD4" w:rsidRPr="00D22F2E">
        <w:rPr>
          <w:color w:val="000000" w:themeColor="text1"/>
        </w:rPr>
        <w:t xml:space="preserve">, but the project team ordered the </w:t>
      </w:r>
      <w:r w:rsidRPr="00D22F2E">
        <w:rPr>
          <w:color w:val="000000" w:themeColor="text1"/>
        </w:rPr>
        <w:t>remaining modules</w:t>
      </w:r>
      <w:r w:rsidR="00455AD4" w:rsidRPr="00D22F2E">
        <w:rPr>
          <w:color w:val="000000" w:themeColor="text1"/>
        </w:rPr>
        <w:t xml:space="preserve"> as a fully-assembled </w:t>
      </w:r>
      <w:r w:rsidRPr="00D22F2E">
        <w:rPr>
          <w:color w:val="000000" w:themeColor="text1"/>
        </w:rPr>
        <w:t xml:space="preserve">system, </w:t>
      </w:r>
      <w:r w:rsidR="00455AD4" w:rsidRPr="00D22F2E">
        <w:rPr>
          <w:color w:val="000000" w:themeColor="text1"/>
        </w:rPr>
        <w:t>designed to speed</w:t>
      </w:r>
      <w:r w:rsidRPr="00D22F2E">
        <w:rPr>
          <w:color w:val="000000" w:themeColor="text1"/>
        </w:rPr>
        <w:t xml:space="preserve"> installation</w:t>
      </w:r>
      <w:r w:rsidR="00455AD4" w:rsidRPr="00D22F2E">
        <w:rPr>
          <w:color w:val="000000" w:themeColor="text1"/>
        </w:rPr>
        <w:t xml:space="preserve">. The prefabricated </w:t>
      </w:r>
      <w:r w:rsidRPr="00D22F2E">
        <w:rPr>
          <w:color w:val="000000" w:themeColor="text1"/>
        </w:rPr>
        <w:t>Commercial Water Heating S</w:t>
      </w:r>
      <w:r w:rsidR="00455AD4" w:rsidRPr="00D22F2E">
        <w:rPr>
          <w:color w:val="000000" w:themeColor="text1"/>
        </w:rPr>
        <w:t xml:space="preserve">ystem combines commercial-grade tankless units with system controllers, manifolds and other necessary components and accessories into </w:t>
      </w:r>
      <w:r w:rsidRPr="00D22F2E">
        <w:rPr>
          <w:color w:val="000000" w:themeColor="text1"/>
        </w:rPr>
        <w:t xml:space="preserve">a </w:t>
      </w:r>
      <w:r w:rsidR="00455AD4" w:rsidRPr="00D22F2E">
        <w:rPr>
          <w:color w:val="000000" w:themeColor="text1"/>
        </w:rPr>
        <w:t>fully assembled metal rack system that can be shipped anywhere in North America.</w:t>
      </w:r>
    </w:p>
    <w:p w14:paraId="1F8D35F3" w14:textId="25AA2356" w:rsidR="00455AD4" w:rsidRPr="00D22F2E" w:rsidRDefault="00455AD4" w:rsidP="00455AD4">
      <w:pPr>
        <w:suppressAutoHyphens/>
        <w:spacing w:before="240" w:line="276" w:lineRule="auto"/>
        <w:rPr>
          <w:color w:val="000000" w:themeColor="text1"/>
        </w:rPr>
      </w:pPr>
      <w:r w:rsidRPr="00D22F2E">
        <w:rPr>
          <w:color w:val="000000" w:themeColor="text1"/>
        </w:rPr>
        <w:t>Especially appealing for Gonzalez is the multi-unit system controller, which stages individual heaters on and off based on hot water demand</w:t>
      </w:r>
      <w:r w:rsidR="00616107" w:rsidRPr="00D22F2E">
        <w:rPr>
          <w:color w:val="000000" w:themeColor="text1"/>
        </w:rPr>
        <w:t>, as well as</w:t>
      </w:r>
      <w:r w:rsidRPr="00D22F2E">
        <w:rPr>
          <w:color w:val="000000" w:themeColor="text1"/>
        </w:rPr>
        <w:t xml:space="preserve"> rotates their operation to ensure even usage.</w:t>
      </w:r>
    </w:p>
    <w:p w14:paraId="4078E671" w14:textId="1ED8C178" w:rsidR="00616107" w:rsidRPr="00D22F2E" w:rsidRDefault="00616107" w:rsidP="00616107">
      <w:pPr>
        <w:suppressAutoHyphens/>
        <w:spacing w:before="240" w:line="276" w:lineRule="auto"/>
        <w:rPr>
          <w:color w:val="000000" w:themeColor="text1"/>
        </w:rPr>
      </w:pPr>
      <w:r w:rsidRPr="00D22F2E">
        <w:rPr>
          <w:color w:val="000000" w:themeColor="text1"/>
        </w:rPr>
        <w:t xml:space="preserve">The goal of the Commercial Water Heating System is to reduce installation time and expense while maximizing performance and reliability when building multi-unit tankless systems.  According to Gonzalez, the rack system brings installation as close to 'plug-and-play" as possible for plumbing contractors. </w:t>
      </w:r>
    </w:p>
    <w:p w14:paraId="3C83323E" w14:textId="282F7A70" w:rsidR="009A30B6" w:rsidRPr="00D22F2E" w:rsidRDefault="00A415DE" w:rsidP="00616107">
      <w:pPr>
        <w:suppressAutoHyphens/>
        <w:spacing w:before="240" w:line="276" w:lineRule="auto"/>
        <w:rPr>
          <w:color w:val="000000" w:themeColor="text1"/>
        </w:rPr>
      </w:pPr>
      <w:r w:rsidRPr="00D22F2E">
        <w:rPr>
          <w:color w:val="000000" w:themeColor="text1"/>
        </w:rPr>
        <w:t>All three</w:t>
      </w:r>
      <w:r w:rsidR="004E30D5" w:rsidRPr="00D22F2E">
        <w:rPr>
          <w:color w:val="000000" w:themeColor="text1"/>
        </w:rPr>
        <w:t xml:space="preserve"> applications have been meeting hot-water demands since the installations. For his part, </w:t>
      </w:r>
      <w:r w:rsidR="004E30D5" w:rsidRPr="00D22F2E">
        <w:rPr>
          <w:rFonts w:eastAsia="Times New Roman"/>
          <w:color w:val="000000" w:themeColor="text1"/>
        </w:rPr>
        <w:t>Gonzalez</w:t>
      </w:r>
      <w:r w:rsidR="004E30D5" w:rsidRPr="00D22F2E">
        <w:rPr>
          <w:color w:val="000000" w:themeColor="text1"/>
        </w:rPr>
        <w:t xml:space="preserve"> is extremely pleased </w:t>
      </w:r>
      <w:r w:rsidR="009A30B6" w:rsidRPr="00D22F2E">
        <w:rPr>
          <w:color w:val="000000" w:themeColor="text1"/>
        </w:rPr>
        <w:t xml:space="preserve">with </w:t>
      </w:r>
      <w:r w:rsidR="004E30D5" w:rsidRPr="00D22F2E">
        <w:rPr>
          <w:color w:val="000000" w:themeColor="text1"/>
        </w:rPr>
        <w:t xml:space="preserve">choosing tankless water heaters. </w:t>
      </w:r>
    </w:p>
    <w:p w14:paraId="7EA8CA89" w14:textId="1F0FCEF4" w:rsidR="004E30D5" w:rsidRPr="00D22F2E" w:rsidRDefault="004E30D5" w:rsidP="00E729B1">
      <w:pPr>
        <w:suppressAutoHyphens/>
        <w:spacing w:before="240" w:line="276" w:lineRule="auto"/>
        <w:rPr>
          <w:color w:val="000000" w:themeColor="text1"/>
        </w:rPr>
      </w:pPr>
      <w:r w:rsidRPr="00D22F2E">
        <w:rPr>
          <w:color w:val="000000" w:themeColor="text1"/>
        </w:rPr>
        <w:t>“They are very good products that eliminate the need for bulky storage tanks, simplify maintenance, and significantly reduce operating costs,” he concludes.</w:t>
      </w:r>
    </w:p>
    <w:p w14:paraId="70FBF76A" w14:textId="4286DF1D" w:rsidR="007C46BB" w:rsidRPr="00D22F2E" w:rsidRDefault="00880110" w:rsidP="009A30B6">
      <w:pPr>
        <w:suppressAutoHyphens/>
        <w:spacing w:before="360" w:after="360"/>
        <w:rPr>
          <w:color w:val="000000" w:themeColor="text1"/>
        </w:rPr>
      </w:pPr>
      <w:r w:rsidRPr="00D22F2E">
        <w:rPr>
          <w:i/>
          <w:iCs/>
          <w:color w:val="000000" w:themeColor="text1"/>
          <w:sz w:val="20"/>
          <w:szCs w:val="20"/>
        </w:rPr>
        <w:t>J</w:t>
      </w:r>
      <w:r w:rsidR="00491C2A" w:rsidRPr="00D22F2E">
        <w:rPr>
          <w:i/>
          <w:iCs/>
          <w:color w:val="000000" w:themeColor="text1"/>
          <w:sz w:val="20"/>
          <w:szCs w:val="20"/>
        </w:rPr>
        <w:t>a</w:t>
      </w:r>
      <w:r w:rsidR="6FA01910" w:rsidRPr="00D22F2E">
        <w:rPr>
          <w:i/>
          <w:iCs/>
          <w:color w:val="000000" w:themeColor="text1"/>
          <w:sz w:val="20"/>
          <w:szCs w:val="20"/>
        </w:rPr>
        <w:t>mes Facer serves as National Account Manager – Commercial for</w:t>
      </w:r>
      <w:r w:rsidR="00491C2A" w:rsidRPr="00D22F2E">
        <w:rPr>
          <w:i/>
          <w:iCs/>
          <w:color w:val="000000" w:themeColor="text1"/>
          <w:sz w:val="20"/>
          <w:szCs w:val="20"/>
        </w:rPr>
        <w:t xml:space="preserve"> Noritz America, based at company headquarters in Fountain Valley, Calif. He</w:t>
      </w:r>
      <w:r w:rsidR="00E87FA6" w:rsidRPr="00D22F2E">
        <w:rPr>
          <w:i/>
          <w:iCs/>
          <w:color w:val="000000" w:themeColor="text1"/>
          <w:sz w:val="20"/>
          <w:szCs w:val="20"/>
        </w:rPr>
        <w:t xml:space="preserve"> may</w:t>
      </w:r>
      <w:r w:rsidR="00491C2A" w:rsidRPr="00D22F2E">
        <w:rPr>
          <w:i/>
          <w:iCs/>
          <w:color w:val="000000" w:themeColor="text1"/>
          <w:sz w:val="20"/>
          <w:szCs w:val="20"/>
        </w:rPr>
        <w:t xml:space="preserve"> be reached at: (714) 433-2905 ext. 781</w:t>
      </w:r>
      <w:r w:rsidR="6FA01910" w:rsidRPr="00D22F2E">
        <w:rPr>
          <w:i/>
          <w:iCs/>
          <w:color w:val="000000" w:themeColor="text1"/>
          <w:sz w:val="20"/>
          <w:szCs w:val="20"/>
        </w:rPr>
        <w:t>2</w:t>
      </w:r>
      <w:r w:rsidR="00491C2A" w:rsidRPr="00D22F2E">
        <w:rPr>
          <w:i/>
          <w:iCs/>
          <w:color w:val="000000" w:themeColor="text1"/>
          <w:sz w:val="20"/>
          <w:szCs w:val="20"/>
        </w:rPr>
        <w:t>.</w:t>
      </w:r>
    </w:p>
    <w:p w14:paraId="52ABF981" w14:textId="77777777" w:rsidR="007A533B" w:rsidRPr="00D22F2E" w:rsidRDefault="007A533B" w:rsidP="00E729B1">
      <w:pPr>
        <w:suppressAutoHyphens/>
        <w:spacing w:before="360"/>
        <w:jc w:val="center"/>
        <w:rPr>
          <w:b/>
          <w:color w:val="000000" w:themeColor="text1"/>
        </w:rPr>
      </w:pPr>
      <w:r w:rsidRPr="00D22F2E">
        <w:rPr>
          <w:b/>
          <w:color w:val="000000" w:themeColor="text1"/>
        </w:rPr>
        <w:t>------------------------------------------------------------------------------------------------------------</w:t>
      </w:r>
    </w:p>
    <w:p w14:paraId="2A8FAAF9" w14:textId="5E6C8E82" w:rsidR="007A533B" w:rsidRDefault="007A533B" w:rsidP="00E729B1">
      <w:pPr>
        <w:suppressAutoHyphens/>
        <w:spacing w:before="120"/>
      </w:pPr>
      <w:r w:rsidRPr="00D22F2E">
        <w:rPr>
          <w:b/>
          <w:caps/>
          <w:color w:val="000000" w:themeColor="text1"/>
          <w:sz w:val="18"/>
        </w:rPr>
        <w:t>Noritz America Corporation</w:t>
      </w:r>
      <w:r w:rsidRPr="00D22F2E">
        <w:rPr>
          <w:color w:val="000000" w:themeColor="text1"/>
          <w:sz w:val="18"/>
        </w:rPr>
        <w:t xml:space="preserve">, a subsidiary of Noritz Japan, has corporate offices in Fountain Valley, Calif., and Atlanta, offering a full line of tankless water heaters to meet the hot water demands of residential and commercial applications. Noritz supports its products with a national network of skilled representatives and employees who are committed to providing the finest products and services to our communities by helping consumers live in a more comfortable, efficient and healthy lifestyle. For more information on Noritz America and the entire line of Noritz’s </w:t>
      </w:r>
      <w:r w:rsidRPr="00D22F2E">
        <w:rPr>
          <w:caps/>
          <w:color w:val="000000" w:themeColor="text1"/>
          <w:sz w:val="18"/>
        </w:rPr>
        <w:t>Energy Star</w:t>
      </w:r>
      <w:r w:rsidRPr="00D22F2E">
        <w:rPr>
          <w:color w:val="000000" w:themeColor="text1"/>
          <w:sz w:val="18"/>
          <w:vertAlign w:val="superscript"/>
        </w:rPr>
        <w:t>®</w:t>
      </w:r>
      <w:r w:rsidRPr="00D22F2E">
        <w:rPr>
          <w:color w:val="000000" w:themeColor="text1"/>
          <w:sz w:val="18"/>
        </w:rPr>
        <w:t xml:space="preserve"> tankless water heaters, please call (877) 986-6748 or visit our website at </w:t>
      </w:r>
      <w:hyperlink r:id="rId9" w:history="1">
        <w:r w:rsidR="008D57A6">
          <w:rPr>
            <w:rStyle w:val="Hyperlink"/>
            <w:sz w:val="18"/>
          </w:rPr>
          <w:t>www.noritz.com</w:t>
        </w:r>
      </w:hyperlink>
      <w:r w:rsidR="008D57A6" w:rsidRPr="00B34AE5">
        <w:rPr>
          <w:sz w:val="18"/>
        </w:rPr>
        <w:t>.</w:t>
      </w:r>
    </w:p>
    <w:p w14:paraId="37D1E120" w14:textId="5D25B077" w:rsidR="00BC2F7D" w:rsidRPr="00BC2F7D" w:rsidRDefault="00BC2F7D" w:rsidP="00E729B1">
      <w:pPr>
        <w:suppressAutoHyphens/>
        <w:spacing w:before="120"/>
        <w:jc w:val="both"/>
        <w:rPr>
          <w:b/>
          <w:sz w:val="18"/>
        </w:rPr>
      </w:pPr>
      <w:r w:rsidRPr="00BC2F7D">
        <w:rPr>
          <w:b/>
          <w:bCs/>
          <w:sz w:val="18"/>
        </w:rPr>
        <w:t>For editorial assistance</w:t>
      </w:r>
      <w:r w:rsidRPr="00BC2F7D">
        <w:rPr>
          <w:b/>
          <w:sz w:val="18"/>
        </w:rPr>
        <w:t>, contact John O’Reilly at GreenHouse Digital + PR, 28 Kansas Street, Suite 2C, Fran</w:t>
      </w:r>
      <w:r w:rsidR="003634EE">
        <w:rPr>
          <w:b/>
          <w:sz w:val="18"/>
        </w:rPr>
        <w:t>k</w:t>
      </w:r>
      <w:r w:rsidRPr="00BC2F7D">
        <w:rPr>
          <w:b/>
          <w:sz w:val="18"/>
        </w:rPr>
        <w:t>fort, IL 60423; tel.: 815.469.9100; e-mail: </w:t>
      </w:r>
      <w:hyperlink r:id="rId10" w:history="1">
        <w:r w:rsidRPr="00BC2F7D">
          <w:rPr>
            <w:rStyle w:val="Hyperlink"/>
            <w:b/>
            <w:sz w:val="18"/>
          </w:rPr>
          <w:t>john@greenhousedigitalpr.com</w:t>
        </w:r>
      </w:hyperlink>
      <w:r w:rsidRPr="00BC2F7D">
        <w:rPr>
          <w:b/>
          <w:sz w:val="18"/>
        </w:rPr>
        <w:t>.</w:t>
      </w:r>
    </w:p>
    <w:p w14:paraId="7BFF65BD" w14:textId="07043CB9" w:rsidR="00325B5B" w:rsidRDefault="007A533B" w:rsidP="00E729B1">
      <w:pPr>
        <w:suppressAutoHyphens/>
        <w:spacing w:before="120"/>
        <w:jc w:val="both"/>
        <w:rPr>
          <w:b/>
          <w:sz w:val="20"/>
          <w:u w:val="single"/>
        </w:rPr>
      </w:pPr>
      <w:r w:rsidRPr="00B34AE5">
        <w:rPr>
          <w:b/>
          <w:sz w:val="18"/>
        </w:rPr>
        <w:t xml:space="preserve">Hi-res versions of photographs to accompany this </w:t>
      </w:r>
      <w:r>
        <w:rPr>
          <w:b/>
          <w:sz w:val="18"/>
        </w:rPr>
        <w:t>case study</w:t>
      </w:r>
      <w:r w:rsidRPr="00B34AE5">
        <w:rPr>
          <w:sz w:val="18"/>
        </w:rPr>
        <w:t xml:space="preserve"> are available for immediate download in .</w:t>
      </w:r>
      <w:proofErr w:type="spellStart"/>
      <w:r w:rsidRPr="00B34AE5">
        <w:rPr>
          <w:sz w:val="18"/>
        </w:rPr>
        <w:t>tif</w:t>
      </w:r>
      <w:proofErr w:type="spellEnd"/>
      <w:r w:rsidRPr="00B34AE5">
        <w:rPr>
          <w:sz w:val="18"/>
        </w:rPr>
        <w:t xml:space="preserve"> format by using this link</w:t>
      </w:r>
      <w:r w:rsidR="009F7324">
        <w:rPr>
          <w:sz w:val="18"/>
        </w:rPr>
        <w:t>:</w:t>
      </w:r>
      <w:r w:rsidR="003634EE">
        <w:rPr>
          <w:sz w:val="18"/>
        </w:rPr>
        <w:t xml:space="preserve"> </w:t>
      </w:r>
      <w:hyperlink r:id="rId11" w:history="1">
        <w:r w:rsidR="00851BC4">
          <w:rPr>
            <w:rStyle w:val="Hyperlink"/>
            <w:sz w:val="18"/>
          </w:rPr>
          <w:t>https://noritz.greenhousedigitalpr.com/cs-hawaii-correctional-facility</w:t>
        </w:r>
      </w:hyperlink>
      <w:bookmarkStart w:id="0" w:name="_GoBack"/>
      <w:bookmarkEnd w:id="0"/>
    </w:p>
    <w:p w14:paraId="791E96CC" w14:textId="20392714" w:rsidR="00ED3ED5" w:rsidRPr="00891CF6" w:rsidRDefault="00ED3ED5" w:rsidP="00E729B1">
      <w:pPr>
        <w:suppressAutoHyphens/>
        <w:rPr>
          <w:b/>
          <w:sz w:val="20"/>
          <w:u w:val="single"/>
        </w:rPr>
      </w:pPr>
    </w:p>
    <w:p w14:paraId="0007E929" w14:textId="77777777" w:rsidR="00E729B1" w:rsidRPr="00891CF6" w:rsidRDefault="00E729B1">
      <w:pPr>
        <w:suppressAutoHyphens/>
        <w:rPr>
          <w:b/>
          <w:sz w:val="20"/>
          <w:u w:val="single"/>
        </w:rPr>
      </w:pPr>
    </w:p>
    <w:sectPr w:rsidR="00E729B1" w:rsidRPr="00891CF6" w:rsidSect="003535D1">
      <w:headerReference w:type="even" r:id="rId12"/>
      <w:headerReference w:type="default" r:id="rId13"/>
      <w:footerReference w:type="default" r:id="rId14"/>
      <w:headerReference w:type="first" r:id="rId15"/>
      <w:footerReference w:type="first" r:id="rId16"/>
      <w:pgSz w:w="12240" w:h="15840" w:code="1"/>
      <w:pgMar w:top="360" w:right="1800" w:bottom="100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6BD7" w14:textId="77777777" w:rsidR="00916FA5" w:rsidRDefault="00916FA5" w:rsidP="004C7C91">
      <w:r>
        <w:separator/>
      </w:r>
    </w:p>
  </w:endnote>
  <w:endnote w:type="continuationSeparator" w:id="0">
    <w:p w14:paraId="7AB7390E" w14:textId="77777777" w:rsidR="00916FA5" w:rsidRDefault="00916FA5" w:rsidP="004C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ato">
    <w:altName w:val="Calibri"/>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2ED2D3CF" w14:paraId="4E03C15E" w14:textId="77777777" w:rsidTr="2ED2D3CF">
      <w:tc>
        <w:tcPr>
          <w:tcW w:w="2880" w:type="dxa"/>
        </w:tcPr>
        <w:p w14:paraId="7B1A4E09" w14:textId="0B1E257C" w:rsidR="2ED2D3CF" w:rsidRDefault="2ED2D3CF" w:rsidP="00A415DE">
          <w:pPr>
            <w:pStyle w:val="Header"/>
            <w:ind w:left="-115"/>
          </w:pPr>
        </w:p>
      </w:tc>
      <w:tc>
        <w:tcPr>
          <w:tcW w:w="2880" w:type="dxa"/>
        </w:tcPr>
        <w:p w14:paraId="0F1166B3" w14:textId="37AC64CB" w:rsidR="2ED2D3CF" w:rsidRDefault="2ED2D3CF" w:rsidP="00A415DE">
          <w:pPr>
            <w:pStyle w:val="Header"/>
            <w:jc w:val="center"/>
          </w:pPr>
        </w:p>
      </w:tc>
      <w:tc>
        <w:tcPr>
          <w:tcW w:w="2880" w:type="dxa"/>
        </w:tcPr>
        <w:p w14:paraId="1561FFA4" w14:textId="46842D42" w:rsidR="2ED2D3CF" w:rsidRDefault="2ED2D3CF" w:rsidP="00A415DE">
          <w:pPr>
            <w:pStyle w:val="Header"/>
            <w:ind w:right="-115"/>
            <w:jc w:val="right"/>
          </w:pPr>
        </w:p>
      </w:tc>
    </w:tr>
  </w:tbl>
  <w:p w14:paraId="606AC0F5" w14:textId="1E89CD46" w:rsidR="2ED2D3CF" w:rsidRDefault="2ED2D3CF" w:rsidP="00A41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2ED2D3CF" w14:paraId="201437B3" w14:textId="77777777" w:rsidTr="2ED2D3CF">
      <w:tc>
        <w:tcPr>
          <w:tcW w:w="2880" w:type="dxa"/>
        </w:tcPr>
        <w:p w14:paraId="1E573C29" w14:textId="76299C90" w:rsidR="2ED2D3CF" w:rsidRDefault="2ED2D3CF" w:rsidP="00A415DE">
          <w:pPr>
            <w:pStyle w:val="Header"/>
            <w:ind w:left="-115"/>
          </w:pPr>
        </w:p>
      </w:tc>
      <w:tc>
        <w:tcPr>
          <w:tcW w:w="2880" w:type="dxa"/>
        </w:tcPr>
        <w:p w14:paraId="5E80B0CF" w14:textId="64BC50AA" w:rsidR="2ED2D3CF" w:rsidRDefault="2ED2D3CF" w:rsidP="00A415DE">
          <w:pPr>
            <w:pStyle w:val="Header"/>
            <w:jc w:val="center"/>
          </w:pPr>
        </w:p>
      </w:tc>
      <w:tc>
        <w:tcPr>
          <w:tcW w:w="2880" w:type="dxa"/>
        </w:tcPr>
        <w:p w14:paraId="6E3D7168" w14:textId="4E88893C" w:rsidR="2ED2D3CF" w:rsidRDefault="2ED2D3CF" w:rsidP="00A415DE">
          <w:pPr>
            <w:pStyle w:val="Header"/>
            <w:ind w:right="-115"/>
            <w:jc w:val="right"/>
          </w:pPr>
        </w:p>
      </w:tc>
    </w:tr>
  </w:tbl>
  <w:p w14:paraId="3135350A" w14:textId="4F022209" w:rsidR="2ED2D3CF" w:rsidRDefault="2ED2D3CF" w:rsidP="00A41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0169C" w14:textId="77777777" w:rsidR="00916FA5" w:rsidRDefault="00916FA5" w:rsidP="004C7C91">
      <w:r>
        <w:separator/>
      </w:r>
    </w:p>
  </w:footnote>
  <w:footnote w:type="continuationSeparator" w:id="0">
    <w:p w14:paraId="2AC4CF84" w14:textId="77777777" w:rsidR="00916FA5" w:rsidRDefault="00916FA5" w:rsidP="004C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27A5" w14:textId="77777777" w:rsidR="003726CE" w:rsidRDefault="003726CE" w:rsidP="004B10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1BD08A" w14:textId="77777777" w:rsidR="003726CE" w:rsidRDefault="003726CE" w:rsidP="00F97D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F07FE" w14:textId="77777777" w:rsidR="003726CE" w:rsidRDefault="003726CE" w:rsidP="004B10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427591" w14:textId="77777777" w:rsidR="003726CE" w:rsidRPr="00606AE0" w:rsidRDefault="003726CE" w:rsidP="00F97D4F">
    <w:pPr>
      <w:ind w:right="360"/>
      <w:jc w:val="both"/>
      <w:rPr>
        <w:b/>
        <w:caps/>
        <w:color w:val="595959"/>
      </w:rPr>
    </w:pPr>
    <w:r>
      <w:rPr>
        <w:b/>
        <w:caps/>
        <w:color w:val="595959"/>
      </w:rPr>
      <w:t>noritz CASE STUDY</w:t>
    </w:r>
  </w:p>
  <w:p w14:paraId="2E1901A5" w14:textId="7CC62BE2" w:rsidR="003726CE" w:rsidRPr="00606AE0" w:rsidRDefault="003726CE" w:rsidP="00467919">
    <w:pPr>
      <w:jc w:val="both"/>
      <w:rPr>
        <w:b/>
        <w:caps/>
        <w:color w:val="595959"/>
      </w:rPr>
    </w:pPr>
    <w:r w:rsidRPr="00624B37">
      <w:rPr>
        <w:b/>
        <w:caps/>
        <w:color w:val="595959"/>
      </w:rPr>
      <w:t>Oahu Community Correctional Center</w:t>
    </w:r>
  </w:p>
  <w:p w14:paraId="1FC264FD" w14:textId="77777777" w:rsidR="003726CE" w:rsidRDefault="0037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2ED2D3CF" w14:paraId="687D5D8A" w14:textId="77777777" w:rsidTr="2D779DDB">
      <w:tc>
        <w:tcPr>
          <w:tcW w:w="2880" w:type="dxa"/>
        </w:tcPr>
        <w:p w14:paraId="50323E18" w14:textId="49A65BE4" w:rsidR="2ED2D3CF" w:rsidRDefault="2ED2D3CF"/>
      </w:tc>
      <w:tc>
        <w:tcPr>
          <w:tcW w:w="2880" w:type="dxa"/>
        </w:tcPr>
        <w:p w14:paraId="4B2A42CC" w14:textId="37F6CE31" w:rsidR="2ED2D3CF" w:rsidRDefault="2ED2D3CF" w:rsidP="00A415DE">
          <w:pPr>
            <w:pStyle w:val="Header"/>
            <w:jc w:val="center"/>
          </w:pPr>
        </w:p>
      </w:tc>
      <w:tc>
        <w:tcPr>
          <w:tcW w:w="2880" w:type="dxa"/>
        </w:tcPr>
        <w:p w14:paraId="15B0DCBC" w14:textId="47EB405C" w:rsidR="2ED2D3CF" w:rsidRDefault="2ED2D3CF" w:rsidP="00A415DE">
          <w:pPr>
            <w:pStyle w:val="Header"/>
            <w:ind w:right="-115"/>
            <w:jc w:val="right"/>
          </w:pPr>
        </w:p>
      </w:tc>
    </w:tr>
  </w:tbl>
  <w:p w14:paraId="5256FA0D" w14:textId="53B22524" w:rsidR="2ED2D3CF" w:rsidRDefault="2ED2D3CF" w:rsidP="00A41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removePersonalInformation/>
  <w:removeDateAndTime/>
  <w:displayBackgroundShape/>
  <w:hideSpellingErrors/>
  <w:hideGrammaticalErrors/>
  <w:proofState w:spelling="clean" w:grammar="clean"/>
  <w:revisionView w:markup="0"/>
  <w:defaultTabStop w:val="720"/>
  <w:autoHyphenation/>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83"/>
    <w:rsid w:val="0000322C"/>
    <w:rsid w:val="000057AC"/>
    <w:rsid w:val="00007F9C"/>
    <w:rsid w:val="00013FC9"/>
    <w:rsid w:val="00014081"/>
    <w:rsid w:val="0001797D"/>
    <w:rsid w:val="00022313"/>
    <w:rsid w:val="00031D0E"/>
    <w:rsid w:val="000342B2"/>
    <w:rsid w:val="0003596B"/>
    <w:rsid w:val="00035BC0"/>
    <w:rsid w:val="000371BE"/>
    <w:rsid w:val="0004324F"/>
    <w:rsid w:val="00045185"/>
    <w:rsid w:val="000505BD"/>
    <w:rsid w:val="0005184F"/>
    <w:rsid w:val="00052086"/>
    <w:rsid w:val="0005285F"/>
    <w:rsid w:val="00053E8F"/>
    <w:rsid w:val="000569A1"/>
    <w:rsid w:val="00060980"/>
    <w:rsid w:val="00070216"/>
    <w:rsid w:val="000772FB"/>
    <w:rsid w:val="0007777E"/>
    <w:rsid w:val="00080447"/>
    <w:rsid w:val="00082AC1"/>
    <w:rsid w:val="000830B5"/>
    <w:rsid w:val="00086995"/>
    <w:rsid w:val="00086FA0"/>
    <w:rsid w:val="000913D6"/>
    <w:rsid w:val="000939FA"/>
    <w:rsid w:val="00096263"/>
    <w:rsid w:val="000A1C6D"/>
    <w:rsid w:val="000A5857"/>
    <w:rsid w:val="000B1BF0"/>
    <w:rsid w:val="000B3C78"/>
    <w:rsid w:val="000B3F3D"/>
    <w:rsid w:val="000C1D28"/>
    <w:rsid w:val="000C1E10"/>
    <w:rsid w:val="000C55B0"/>
    <w:rsid w:val="000D3F34"/>
    <w:rsid w:val="000D5210"/>
    <w:rsid w:val="000E3D9E"/>
    <w:rsid w:val="000F142B"/>
    <w:rsid w:val="000F2BEF"/>
    <w:rsid w:val="000F4C7D"/>
    <w:rsid w:val="00100ECB"/>
    <w:rsid w:val="00122BFC"/>
    <w:rsid w:val="00123BDB"/>
    <w:rsid w:val="0013574B"/>
    <w:rsid w:val="00141CEB"/>
    <w:rsid w:val="00155335"/>
    <w:rsid w:val="001657CB"/>
    <w:rsid w:val="00166B1A"/>
    <w:rsid w:val="00175C1D"/>
    <w:rsid w:val="00177472"/>
    <w:rsid w:val="0017789B"/>
    <w:rsid w:val="00177C65"/>
    <w:rsid w:val="00181D1F"/>
    <w:rsid w:val="00183CF6"/>
    <w:rsid w:val="00184E83"/>
    <w:rsid w:val="00186A6E"/>
    <w:rsid w:val="00197CF0"/>
    <w:rsid w:val="001A536E"/>
    <w:rsid w:val="001A55D9"/>
    <w:rsid w:val="001A56DD"/>
    <w:rsid w:val="001C2D6A"/>
    <w:rsid w:val="001C39B3"/>
    <w:rsid w:val="001C5A02"/>
    <w:rsid w:val="001C7C6D"/>
    <w:rsid w:val="001D3774"/>
    <w:rsid w:val="001D5411"/>
    <w:rsid w:val="001D67D6"/>
    <w:rsid w:val="001E5173"/>
    <w:rsid w:val="001E5BD0"/>
    <w:rsid w:val="001E6052"/>
    <w:rsid w:val="001F28B7"/>
    <w:rsid w:val="001F4E6B"/>
    <w:rsid w:val="001F5ECA"/>
    <w:rsid w:val="001F67A4"/>
    <w:rsid w:val="00200DED"/>
    <w:rsid w:val="0020496B"/>
    <w:rsid w:val="002063E4"/>
    <w:rsid w:val="00207A81"/>
    <w:rsid w:val="00211802"/>
    <w:rsid w:val="002173CB"/>
    <w:rsid w:val="00220A80"/>
    <w:rsid w:val="00220C3F"/>
    <w:rsid w:val="00220E0A"/>
    <w:rsid w:val="00221B43"/>
    <w:rsid w:val="002227FB"/>
    <w:rsid w:val="00223D2E"/>
    <w:rsid w:val="002269DD"/>
    <w:rsid w:val="002279A2"/>
    <w:rsid w:val="00244E74"/>
    <w:rsid w:val="00245600"/>
    <w:rsid w:val="00245DB4"/>
    <w:rsid w:val="00251DF8"/>
    <w:rsid w:val="00252AB4"/>
    <w:rsid w:val="002530FE"/>
    <w:rsid w:val="00262D5B"/>
    <w:rsid w:val="00265DB7"/>
    <w:rsid w:val="002716DF"/>
    <w:rsid w:val="00276924"/>
    <w:rsid w:val="00276F23"/>
    <w:rsid w:val="0027754C"/>
    <w:rsid w:val="0028221E"/>
    <w:rsid w:val="00286483"/>
    <w:rsid w:val="0028724E"/>
    <w:rsid w:val="00287FEA"/>
    <w:rsid w:val="0029056C"/>
    <w:rsid w:val="0029200F"/>
    <w:rsid w:val="002959B9"/>
    <w:rsid w:val="00296106"/>
    <w:rsid w:val="00297132"/>
    <w:rsid w:val="002A18BA"/>
    <w:rsid w:val="002A254F"/>
    <w:rsid w:val="002A2DB4"/>
    <w:rsid w:val="002A783F"/>
    <w:rsid w:val="002B3C42"/>
    <w:rsid w:val="002B3E8C"/>
    <w:rsid w:val="002C1319"/>
    <w:rsid w:val="002C7523"/>
    <w:rsid w:val="002D5D78"/>
    <w:rsid w:val="002D6066"/>
    <w:rsid w:val="002D7B5C"/>
    <w:rsid w:val="002E0097"/>
    <w:rsid w:val="002E345B"/>
    <w:rsid w:val="002E3C65"/>
    <w:rsid w:val="002F2D41"/>
    <w:rsid w:val="002F54D3"/>
    <w:rsid w:val="002F72B5"/>
    <w:rsid w:val="00300A2E"/>
    <w:rsid w:val="00301DBA"/>
    <w:rsid w:val="00312CB4"/>
    <w:rsid w:val="003132A3"/>
    <w:rsid w:val="00313CB8"/>
    <w:rsid w:val="0031401B"/>
    <w:rsid w:val="0032153C"/>
    <w:rsid w:val="00325B5B"/>
    <w:rsid w:val="0032688B"/>
    <w:rsid w:val="003321EE"/>
    <w:rsid w:val="0033273E"/>
    <w:rsid w:val="00334A2B"/>
    <w:rsid w:val="0033515D"/>
    <w:rsid w:val="00340239"/>
    <w:rsid w:val="00341856"/>
    <w:rsid w:val="0034459B"/>
    <w:rsid w:val="00350613"/>
    <w:rsid w:val="00351FD4"/>
    <w:rsid w:val="003535D1"/>
    <w:rsid w:val="00353FD2"/>
    <w:rsid w:val="003604F4"/>
    <w:rsid w:val="003634EE"/>
    <w:rsid w:val="00367C3D"/>
    <w:rsid w:val="003726CE"/>
    <w:rsid w:val="003737AC"/>
    <w:rsid w:val="00382B32"/>
    <w:rsid w:val="00382C1F"/>
    <w:rsid w:val="003858E2"/>
    <w:rsid w:val="00385B57"/>
    <w:rsid w:val="00390C0F"/>
    <w:rsid w:val="00393733"/>
    <w:rsid w:val="00393B52"/>
    <w:rsid w:val="00397244"/>
    <w:rsid w:val="003A073B"/>
    <w:rsid w:val="003C2292"/>
    <w:rsid w:val="003C2824"/>
    <w:rsid w:val="003C2924"/>
    <w:rsid w:val="003C3E90"/>
    <w:rsid w:val="003D0E2E"/>
    <w:rsid w:val="003D4FA7"/>
    <w:rsid w:val="003D6219"/>
    <w:rsid w:val="003F2427"/>
    <w:rsid w:val="003F4114"/>
    <w:rsid w:val="00400B2B"/>
    <w:rsid w:val="00404A1B"/>
    <w:rsid w:val="00405127"/>
    <w:rsid w:val="00441C36"/>
    <w:rsid w:val="00444B63"/>
    <w:rsid w:val="00447B1C"/>
    <w:rsid w:val="00452A8B"/>
    <w:rsid w:val="00455AD4"/>
    <w:rsid w:val="00460E14"/>
    <w:rsid w:val="00461383"/>
    <w:rsid w:val="00464A5C"/>
    <w:rsid w:val="00467919"/>
    <w:rsid w:val="0047063A"/>
    <w:rsid w:val="004722C1"/>
    <w:rsid w:val="00472C74"/>
    <w:rsid w:val="00474E21"/>
    <w:rsid w:val="0048083F"/>
    <w:rsid w:val="00484801"/>
    <w:rsid w:val="00491C2A"/>
    <w:rsid w:val="0049461D"/>
    <w:rsid w:val="004A1DB3"/>
    <w:rsid w:val="004A4F0A"/>
    <w:rsid w:val="004A70FC"/>
    <w:rsid w:val="004B0CAB"/>
    <w:rsid w:val="004B10D2"/>
    <w:rsid w:val="004B1A49"/>
    <w:rsid w:val="004B2DF0"/>
    <w:rsid w:val="004C070B"/>
    <w:rsid w:val="004C2ACF"/>
    <w:rsid w:val="004C7C91"/>
    <w:rsid w:val="004C7D7C"/>
    <w:rsid w:val="004D63C7"/>
    <w:rsid w:val="004E00EE"/>
    <w:rsid w:val="004E30D5"/>
    <w:rsid w:val="004F3945"/>
    <w:rsid w:val="004F518B"/>
    <w:rsid w:val="004F65F8"/>
    <w:rsid w:val="005016BC"/>
    <w:rsid w:val="00502A38"/>
    <w:rsid w:val="00503B4C"/>
    <w:rsid w:val="00506C9D"/>
    <w:rsid w:val="005109CE"/>
    <w:rsid w:val="00511C3D"/>
    <w:rsid w:val="00512FA7"/>
    <w:rsid w:val="00517DAF"/>
    <w:rsid w:val="00527ED5"/>
    <w:rsid w:val="005351AC"/>
    <w:rsid w:val="00540259"/>
    <w:rsid w:val="005463AC"/>
    <w:rsid w:val="00546D1A"/>
    <w:rsid w:val="00550B69"/>
    <w:rsid w:val="00555A7A"/>
    <w:rsid w:val="00561F91"/>
    <w:rsid w:val="00563EC8"/>
    <w:rsid w:val="0057285C"/>
    <w:rsid w:val="005818C3"/>
    <w:rsid w:val="005822BE"/>
    <w:rsid w:val="005840C5"/>
    <w:rsid w:val="005848B4"/>
    <w:rsid w:val="00590B56"/>
    <w:rsid w:val="00591376"/>
    <w:rsid w:val="005A213F"/>
    <w:rsid w:val="005A3E5B"/>
    <w:rsid w:val="005A5E9A"/>
    <w:rsid w:val="005B12A5"/>
    <w:rsid w:val="005C2041"/>
    <w:rsid w:val="005C5AF1"/>
    <w:rsid w:val="005D0CC7"/>
    <w:rsid w:val="005D56DA"/>
    <w:rsid w:val="005D5A4E"/>
    <w:rsid w:val="005E252B"/>
    <w:rsid w:val="005E46D4"/>
    <w:rsid w:val="005F32D7"/>
    <w:rsid w:val="005F3461"/>
    <w:rsid w:val="00601325"/>
    <w:rsid w:val="00606AE0"/>
    <w:rsid w:val="00611924"/>
    <w:rsid w:val="0061461C"/>
    <w:rsid w:val="00616107"/>
    <w:rsid w:val="0061795F"/>
    <w:rsid w:val="00624B37"/>
    <w:rsid w:val="00625D4A"/>
    <w:rsid w:val="00627D6B"/>
    <w:rsid w:val="006375CC"/>
    <w:rsid w:val="00640DAE"/>
    <w:rsid w:val="00641282"/>
    <w:rsid w:val="00643D6A"/>
    <w:rsid w:val="00647085"/>
    <w:rsid w:val="00650AC3"/>
    <w:rsid w:val="00650EBA"/>
    <w:rsid w:val="006513B3"/>
    <w:rsid w:val="00651EC3"/>
    <w:rsid w:val="00653041"/>
    <w:rsid w:val="00654EE5"/>
    <w:rsid w:val="006568F9"/>
    <w:rsid w:val="006574A2"/>
    <w:rsid w:val="0066098B"/>
    <w:rsid w:val="00662473"/>
    <w:rsid w:val="006641B6"/>
    <w:rsid w:val="00671FC2"/>
    <w:rsid w:val="006720C6"/>
    <w:rsid w:val="006735AB"/>
    <w:rsid w:val="00680C05"/>
    <w:rsid w:val="00681001"/>
    <w:rsid w:val="00681DF6"/>
    <w:rsid w:val="0068739C"/>
    <w:rsid w:val="006A077D"/>
    <w:rsid w:val="006A0B9B"/>
    <w:rsid w:val="006A3133"/>
    <w:rsid w:val="006A6A83"/>
    <w:rsid w:val="006A7019"/>
    <w:rsid w:val="006B0242"/>
    <w:rsid w:val="006B29B0"/>
    <w:rsid w:val="006B32A5"/>
    <w:rsid w:val="006B5D97"/>
    <w:rsid w:val="006B632A"/>
    <w:rsid w:val="006C0F29"/>
    <w:rsid w:val="006C5A88"/>
    <w:rsid w:val="006C6406"/>
    <w:rsid w:val="006D5E09"/>
    <w:rsid w:val="006D7A0F"/>
    <w:rsid w:val="006E187C"/>
    <w:rsid w:val="006F4E37"/>
    <w:rsid w:val="006F5691"/>
    <w:rsid w:val="006F59C2"/>
    <w:rsid w:val="00705C9E"/>
    <w:rsid w:val="00706AB7"/>
    <w:rsid w:val="0071146B"/>
    <w:rsid w:val="007122F7"/>
    <w:rsid w:val="00717B32"/>
    <w:rsid w:val="00721704"/>
    <w:rsid w:val="007218DE"/>
    <w:rsid w:val="007243E8"/>
    <w:rsid w:val="0072454B"/>
    <w:rsid w:val="007245AF"/>
    <w:rsid w:val="007258D3"/>
    <w:rsid w:val="00730D18"/>
    <w:rsid w:val="00732AAA"/>
    <w:rsid w:val="00735A94"/>
    <w:rsid w:val="00741C32"/>
    <w:rsid w:val="00742AC7"/>
    <w:rsid w:val="0074312D"/>
    <w:rsid w:val="007509BD"/>
    <w:rsid w:val="00754775"/>
    <w:rsid w:val="00755B66"/>
    <w:rsid w:val="00757118"/>
    <w:rsid w:val="0076358A"/>
    <w:rsid w:val="007639B8"/>
    <w:rsid w:val="00773377"/>
    <w:rsid w:val="00773F34"/>
    <w:rsid w:val="00776BA7"/>
    <w:rsid w:val="007816A7"/>
    <w:rsid w:val="0078522B"/>
    <w:rsid w:val="00794C3E"/>
    <w:rsid w:val="00796A14"/>
    <w:rsid w:val="007A1A50"/>
    <w:rsid w:val="007A2981"/>
    <w:rsid w:val="007A4BDB"/>
    <w:rsid w:val="007A533B"/>
    <w:rsid w:val="007A62BA"/>
    <w:rsid w:val="007B4E2D"/>
    <w:rsid w:val="007C0DE9"/>
    <w:rsid w:val="007C2174"/>
    <w:rsid w:val="007C2214"/>
    <w:rsid w:val="007C3D61"/>
    <w:rsid w:val="007C46BB"/>
    <w:rsid w:val="007D3470"/>
    <w:rsid w:val="007E70F0"/>
    <w:rsid w:val="007F0B08"/>
    <w:rsid w:val="008013F1"/>
    <w:rsid w:val="00803A3B"/>
    <w:rsid w:val="00811461"/>
    <w:rsid w:val="00811681"/>
    <w:rsid w:val="008156BD"/>
    <w:rsid w:val="00821C18"/>
    <w:rsid w:val="00824FA8"/>
    <w:rsid w:val="00826CB0"/>
    <w:rsid w:val="00831E51"/>
    <w:rsid w:val="00835364"/>
    <w:rsid w:val="00835A45"/>
    <w:rsid w:val="008360E5"/>
    <w:rsid w:val="0084035B"/>
    <w:rsid w:val="00843FF7"/>
    <w:rsid w:val="00846647"/>
    <w:rsid w:val="00846CDD"/>
    <w:rsid w:val="008508B9"/>
    <w:rsid w:val="00851BC4"/>
    <w:rsid w:val="008604FD"/>
    <w:rsid w:val="008611E6"/>
    <w:rsid w:val="0086623B"/>
    <w:rsid w:val="00871CFD"/>
    <w:rsid w:val="008725EC"/>
    <w:rsid w:val="008745E0"/>
    <w:rsid w:val="008749B5"/>
    <w:rsid w:val="00876EAA"/>
    <w:rsid w:val="00877B23"/>
    <w:rsid w:val="00880110"/>
    <w:rsid w:val="00882622"/>
    <w:rsid w:val="00891CF6"/>
    <w:rsid w:val="00895548"/>
    <w:rsid w:val="008A02AD"/>
    <w:rsid w:val="008A1D8E"/>
    <w:rsid w:val="008B0B66"/>
    <w:rsid w:val="008B5AA4"/>
    <w:rsid w:val="008B655B"/>
    <w:rsid w:val="008C3051"/>
    <w:rsid w:val="008D2C17"/>
    <w:rsid w:val="008D57A6"/>
    <w:rsid w:val="008D61F0"/>
    <w:rsid w:val="008D7BB5"/>
    <w:rsid w:val="008E29FC"/>
    <w:rsid w:val="008E72CE"/>
    <w:rsid w:val="008F3446"/>
    <w:rsid w:val="008F36D0"/>
    <w:rsid w:val="008F59B7"/>
    <w:rsid w:val="008F5D1A"/>
    <w:rsid w:val="008F6C0E"/>
    <w:rsid w:val="0090774C"/>
    <w:rsid w:val="00916FA5"/>
    <w:rsid w:val="00917755"/>
    <w:rsid w:val="00921672"/>
    <w:rsid w:val="00940870"/>
    <w:rsid w:val="009437B1"/>
    <w:rsid w:val="00945BFF"/>
    <w:rsid w:val="00946CF5"/>
    <w:rsid w:val="00947EEC"/>
    <w:rsid w:val="00950FA2"/>
    <w:rsid w:val="00954D03"/>
    <w:rsid w:val="00957865"/>
    <w:rsid w:val="00960C0C"/>
    <w:rsid w:val="00961122"/>
    <w:rsid w:val="00964FDD"/>
    <w:rsid w:val="0096733D"/>
    <w:rsid w:val="00971C61"/>
    <w:rsid w:val="00973E0E"/>
    <w:rsid w:val="009825D5"/>
    <w:rsid w:val="00993ED5"/>
    <w:rsid w:val="00996890"/>
    <w:rsid w:val="009A0A34"/>
    <w:rsid w:val="009A30B6"/>
    <w:rsid w:val="009A3552"/>
    <w:rsid w:val="009A4414"/>
    <w:rsid w:val="009B53D5"/>
    <w:rsid w:val="009B7BFC"/>
    <w:rsid w:val="009C0FAA"/>
    <w:rsid w:val="009C104A"/>
    <w:rsid w:val="009C2AF5"/>
    <w:rsid w:val="009C3A17"/>
    <w:rsid w:val="009C3BC8"/>
    <w:rsid w:val="009C4C41"/>
    <w:rsid w:val="009D3A8A"/>
    <w:rsid w:val="009E40AB"/>
    <w:rsid w:val="009E6DE2"/>
    <w:rsid w:val="009F090F"/>
    <w:rsid w:val="009F7324"/>
    <w:rsid w:val="00A00189"/>
    <w:rsid w:val="00A01990"/>
    <w:rsid w:val="00A0698A"/>
    <w:rsid w:val="00A10802"/>
    <w:rsid w:val="00A10E7D"/>
    <w:rsid w:val="00A15092"/>
    <w:rsid w:val="00A1510A"/>
    <w:rsid w:val="00A17AC3"/>
    <w:rsid w:val="00A2126F"/>
    <w:rsid w:val="00A223B6"/>
    <w:rsid w:val="00A255C4"/>
    <w:rsid w:val="00A26800"/>
    <w:rsid w:val="00A415DE"/>
    <w:rsid w:val="00A52CC4"/>
    <w:rsid w:val="00A548F5"/>
    <w:rsid w:val="00A558D6"/>
    <w:rsid w:val="00A62901"/>
    <w:rsid w:val="00A67AD3"/>
    <w:rsid w:val="00A70AE1"/>
    <w:rsid w:val="00A7170B"/>
    <w:rsid w:val="00A74261"/>
    <w:rsid w:val="00A91FFC"/>
    <w:rsid w:val="00A938CE"/>
    <w:rsid w:val="00A94D8C"/>
    <w:rsid w:val="00A9525F"/>
    <w:rsid w:val="00A967CB"/>
    <w:rsid w:val="00AA10B1"/>
    <w:rsid w:val="00AA30FB"/>
    <w:rsid w:val="00AA3B20"/>
    <w:rsid w:val="00AA5274"/>
    <w:rsid w:val="00AA685E"/>
    <w:rsid w:val="00AB0DF1"/>
    <w:rsid w:val="00AB2896"/>
    <w:rsid w:val="00AB5E9A"/>
    <w:rsid w:val="00AC72EF"/>
    <w:rsid w:val="00AC7A59"/>
    <w:rsid w:val="00AD3C77"/>
    <w:rsid w:val="00AD755F"/>
    <w:rsid w:val="00AD7F1C"/>
    <w:rsid w:val="00AE30E5"/>
    <w:rsid w:val="00AE4818"/>
    <w:rsid w:val="00AF3BD4"/>
    <w:rsid w:val="00AF6179"/>
    <w:rsid w:val="00B02283"/>
    <w:rsid w:val="00B139FF"/>
    <w:rsid w:val="00B201B2"/>
    <w:rsid w:val="00B24F7B"/>
    <w:rsid w:val="00B272DF"/>
    <w:rsid w:val="00B30308"/>
    <w:rsid w:val="00B31888"/>
    <w:rsid w:val="00B34AE5"/>
    <w:rsid w:val="00B41C87"/>
    <w:rsid w:val="00B41D91"/>
    <w:rsid w:val="00B43739"/>
    <w:rsid w:val="00B45975"/>
    <w:rsid w:val="00B47D40"/>
    <w:rsid w:val="00B53628"/>
    <w:rsid w:val="00B638E5"/>
    <w:rsid w:val="00B65239"/>
    <w:rsid w:val="00B65847"/>
    <w:rsid w:val="00B73DEA"/>
    <w:rsid w:val="00B748EB"/>
    <w:rsid w:val="00B7597A"/>
    <w:rsid w:val="00B77650"/>
    <w:rsid w:val="00B77EF5"/>
    <w:rsid w:val="00B81AF3"/>
    <w:rsid w:val="00B83229"/>
    <w:rsid w:val="00B8384C"/>
    <w:rsid w:val="00B85340"/>
    <w:rsid w:val="00B901FD"/>
    <w:rsid w:val="00BA0B6F"/>
    <w:rsid w:val="00BB0B1E"/>
    <w:rsid w:val="00BB0B4F"/>
    <w:rsid w:val="00BB2F91"/>
    <w:rsid w:val="00BB5A24"/>
    <w:rsid w:val="00BB6804"/>
    <w:rsid w:val="00BC0A9F"/>
    <w:rsid w:val="00BC0D75"/>
    <w:rsid w:val="00BC0D95"/>
    <w:rsid w:val="00BC0E79"/>
    <w:rsid w:val="00BC2F7D"/>
    <w:rsid w:val="00BC5A44"/>
    <w:rsid w:val="00BD0669"/>
    <w:rsid w:val="00BD2BC1"/>
    <w:rsid w:val="00BD5595"/>
    <w:rsid w:val="00BD67BC"/>
    <w:rsid w:val="00BE0618"/>
    <w:rsid w:val="00BE3D58"/>
    <w:rsid w:val="00BE7821"/>
    <w:rsid w:val="00BF073E"/>
    <w:rsid w:val="00BF0F75"/>
    <w:rsid w:val="00BF2EF1"/>
    <w:rsid w:val="00BF422D"/>
    <w:rsid w:val="00BF441B"/>
    <w:rsid w:val="00BF67ED"/>
    <w:rsid w:val="00C03454"/>
    <w:rsid w:val="00C03AFB"/>
    <w:rsid w:val="00C048C3"/>
    <w:rsid w:val="00C16DC9"/>
    <w:rsid w:val="00C21AEF"/>
    <w:rsid w:val="00C2267D"/>
    <w:rsid w:val="00C337E7"/>
    <w:rsid w:val="00C37BF4"/>
    <w:rsid w:val="00C51028"/>
    <w:rsid w:val="00C53697"/>
    <w:rsid w:val="00C55BAA"/>
    <w:rsid w:val="00C62879"/>
    <w:rsid w:val="00C62DA6"/>
    <w:rsid w:val="00C70E14"/>
    <w:rsid w:val="00C75948"/>
    <w:rsid w:val="00C8071C"/>
    <w:rsid w:val="00C81E18"/>
    <w:rsid w:val="00C822EE"/>
    <w:rsid w:val="00C82F9E"/>
    <w:rsid w:val="00C87E89"/>
    <w:rsid w:val="00C964F3"/>
    <w:rsid w:val="00C97575"/>
    <w:rsid w:val="00CA3EC5"/>
    <w:rsid w:val="00CA7A28"/>
    <w:rsid w:val="00CB2F69"/>
    <w:rsid w:val="00CB303C"/>
    <w:rsid w:val="00CC6D24"/>
    <w:rsid w:val="00CC6EE7"/>
    <w:rsid w:val="00CD3913"/>
    <w:rsid w:val="00CD654E"/>
    <w:rsid w:val="00CE1918"/>
    <w:rsid w:val="00CE4941"/>
    <w:rsid w:val="00CE7EDB"/>
    <w:rsid w:val="00CF2C57"/>
    <w:rsid w:val="00CF483F"/>
    <w:rsid w:val="00CF56DF"/>
    <w:rsid w:val="00CF6032"/>
    <w:rsid w:val="00D069D4"/>
    <w:rsid w:val="00D06F2C"/>
    <w:rsid w:val="00D07526"/>
    <w:rsid w:val="00D11621"/>
    <w:rsid w:val="00D123D5"/>
    <w:rsid w:val="00D20F37"/>
    <w:rsid w:val="00D22F2E"/>
    <w:rsid w:val="00D25792"/>
    <w:rsid w:val="00D33592"/>
    <w:rsid w:val="00D36F76"/>
    <w:rsid w:val="00D36FA9"/>
    <w:rsid w:val="00D40980"/>
    <w:rsid w:val="00D414D3"/>
    <w:rsid w:val="00D422E6"/>
    <w:rsid w:val="00D4446C"/>
    <w:rsid w:val="00D46DEB"/>
    <w:rsid w:val="00D56A8E"/>
    <w:rsid w:val="00D61BE7"/>
    <w:rsid w:val="00D63745"/>
    <w:rsid w:val="00D73676"/>
    <w:rsid w:val="00D8029F"/>
    <w:rsid w:val="00D91164"/>
    <w:rsid w:val="00D931ED"/>
    <w:rsid w:val="00D96F68"/>
    <w:rsid w:val="00DA395F"/>
    <w:rsid w:val="00DA526E"/>
    <w:rsid w:val="00DA6989"/>
    <w:rsid w:val="00DB4CC2"/>
    <w:rsid w:val="00DC6327"/>
    <w:rsid w:val="00DD29D6"/>
    <w:rsid w:val="00DD3BA6"/>
    <w:rsid w:val="00DD50E7"/>
    <w:rsid w:val="00DE1165"/>
    <w:rsid w:val="00DE7D1E"/>
    <w:rsid w:val="00DF2835"/>
    <w:rsid w:val="00DF3807"/>
    <w:rsid w:val="00E0053A"/>
    <w:rsid w:val="00E12392"/>
    <w:rsid w:val="00E20A69"/>
    <w:rsid w:val="00E305C1"/>
    <w:rsid w:val="00E3205E"/>
    <w:rsid w:val="00E42241"/>
    <w:rsid w:val="00E4623E"/>
    <w:rsid w:val="00E47192"/>
    <w:rsid w:val="00E478D5"/>
    <w:rsid w:val="00E54CEF"/>
    <w:rsid w:val="00E5638C"/>
    <w:rsid w:val="00E60784"/>
    <w:rsid w:val="00E63FED"/>
    <w:rsid w:val="00E65F6C"/>
    <w:rsid w:val="00E678E0"/>
    <w:rsid w:val="00E729B1"/>
    <w:rsid w:val="00E7328D"/>
    <w:rsid w:val="00E73BCB"/>
    <w:rsid w:val="00E85A6A"/>
    <w:rsid w:val="00E86555"/>
    <w:rsid w:val="00E87FA6"/>
    <w:rsid w:val="00E95B30"/>
    <w:rsid w:val="00E96526"/>
    <w:rsid w:val="00EA0644"/>
    <w:rsid w:val="00EA124B"/>
    <w:rsid w:val="00EB237A"/>
    <w:rsid w:val="00EB2957"/>
    <w:rsid w:val="00EB2BB1"/>
    <w:rsid w:val="00EB6034"/>
    <w:rsid w:val="00EC02A3"/>
    <w:rsid w:val="00EC23A3"/>
    <w:rsid w:val="00EC707F"/>
    <w:rsid w:val="00EC7951"/>
    <w:rsid w:val="00ED0CCD"/>
    <w:rsid w:val="00ED3B42"/>
    <w:rsid w:val="00ED3ED5"/>
    <w:rsid w:val="00ED4053"/>
    <w:rsid w:val="00EE01BB"/>
    <w:rsid w:val="00EE4B51"/>
    <w:rsid w:val="00EE7D53"/>
    <w:rsid w:val="00EF4048"/>
    <w:rsid w:val="00EF5F1C"/>
    <w:rsid w:val="00F029ED"/>
    <w:rsid w:val="00F12415"/>
    <w:rsid w:val="00F12B53"/>
    <w:rsid w:val="00F13BFF"/>
    <w:rsid w:val="00F26DD5"/>
    <w:rsid w:val="00F434CC"/>
    <w:rsid w:val="00F43E9A"/>
    <w:rsid w:val="00F45104"/>
    <w:rsid w:val="00F45242"/>
    <w:rsid w:val="00F5214E"/>
    <w:rsid w:val="00F52EEF"/>
    <w:rsid w:val="00F54FF3"/>
    <w:rsid w:val="00F61991"/>
    <w:rsid w:val="00F632F7"/>
    <w:rsid w:val="00F73976"/>
    <w:rsid w:val="00F73C52"/>
    <w:rsid w:val="00F87544"/>
    <w:rsid w:val="00F95D35"/>
    <w:rsid w:val="00F97BEF"/>
    <w:rsid w:val="00F97D4F"/>
    <w:rsid w:val="00FA1E9B"/>
    <w:rsid w:val="00FA3F72"/>
    <w:rsid w:val="00FB2073"/>
    <w:rsid w:val="00FB236E"/>
    <w:rsid w:val="00FB3165"/>
    <w:rsid w:val="00FB57A4"/>
    <w:rsid w:val="00FC09FB"/>
    <w:rsid w:val="00FC22C1"/>
    <w:rsid w:val="00FC6849"/>
    <w:rsid w:val="00FC7F1F"/>
    <w:rsid w:val="00FD28BB"/>
    <w:rsid w:val="00FD452A"/>
    <w:rsid w:val="00FD6BB2"/>
    <w:rsid w:val="00FF5239"/>
    <w:rsid w:val="0C8D6909"/>
    <w:rsid w:val="0D90351C"/>
    <w:rsid w:val="1DEDCD3A"/>
    <w:rsid w:val="1F0834FE"/>
    <w:rsid w:val="25E95FBC"/>
    <w:rsid w:val="2C9E2010"/>
    <w:rsid w:val="2D0EE7D6"/>
    <w:rsid w:val="2D779DDB"/>
    <w:rsid w:val="2ED2D3CF"/>
    <w:rsid w:val="3164CA6A"/>
    <w:rsid w:val="33AC1DEE"/>
    <w:rsid w:val="346E7AC0"/>
    <w:rsid w:val="363EA609"/>
    <w:rsid w:val="3A0ECE9E"/>
    <w:rsid w:val="3C31CA56"/>
    <w:rsid w:val="3E80DB81"/>
    <w:rsid w:val="410F7FAC"/>
    <w:rsid w:val="568C105D"/>
    <w:rsid w:val="57F7A1C6"/>
    <w:rsid w:val="5B48E277"/>
    <w:rsid w:val="62DE749C"/>
    <w:rsid w:val="6644575C"/>
    <w:rsid w:val="6A832DED"/>
    <w:rsid w:val="6C865698"/>
    <w:rsid w:val="6CB0416F"/>
    <w:rsid w:val="6FA01910"/>
    <w:rsid w:val="770942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ED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48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57A6"/>
    <w:rPr>
      <w:rFonts w:cs="Times New Roman"/>
      <w:color w:val="E10A22"/>
      <w:u w:val="none"/>
    </w:rPr>
  </w:style>
  <w:style w:type="paragraph" w:styleId="NormalWeb">
    <w:name w:val="Normal (Web)"/>
    <w:basedOn w:val="Normal"/>
    <w:uiPriority w:val="99"/>
    <w:rsid w:val="00BA0B6F"/>
    <w:pPr>
      <w:spacing w:before="100" w:beforeAutospacing="1" w:after="100" w:afterAutospacing="1"/>
    </w:pPr>
  </w:style>
  <w:style w:type="paragraph" w:styleId="BalloonText">
    <w:name w:val="Balloon Text"/>
    <w:basedOn w:val="Normal"/>
    <w:link w:val="BalloonTextChar"/>
    <w:uiPriority w:val="99"/>
    <w:semiHidden/>
    <w:rsid w:val="00BA0B6F"/>
    <w:rPr>
      <w:rFonts w:ascii="Tahoma" w:hAnsi="Tahoma" w:cs="Tahoma"/>
      <w:sz w:val="16"/>
      <w:szCs w:val="16"/>
    </w:rPr>
  </w:style>
  <w:style w:type="character" w:customStyle="1" w:styleId="BalloonTextChar">
    <w:name w:val="Balloon Text Char"/>
    <w:basedOn w:val="DefaultParagraphFont"/>
    <w:link w:val="BalloonText"/>
    <w:uiPriority w:val="99"/>
    <w:semiHidden/>
    <w:rsid w:val="00BC5A44"/>
    <w:rPr>
      <w:rFonts w:ascii="Lucida Grande" w:hAnsi="Lucida Grande" w:cs="Times New Roman"/>
      <w:sz w:val="18"/>
      <w:lang w:eastAsia="ja-JP"/>
    </w:rPr>
  </w:style>
  <w:style w:type="character" w:styleId="FollowedHyperlink">
    <w:name w:val="FollowedHyperlink"/>
    <w:basedOn w:val="DefaultParagraphFont"/>
    <w:uiPriority w:val="99"/>
    <w:rsid w:val="00BA0B6F"/>
    <w:rPr>
      <w:rFonts w:cs="Times New Roman"/>
      <w:color w:val="800080"/>
      <w:u w:val="single"/>
    </w:rPr>
  </w:style>
  <w:style w:type="paragraph" w:customStyle="1" w:styleId="msolistparagraph0">
    <w:name w:val="msolistparagraph"/>
    <w:basedOn w:val="Normal"/>
    <w:uiPriority w:val="99"/>
    <w:rsid w:val="00BA0B6F"/>
    <w:pPr>
      <w:spacing w:before="100" w:beforeAutospacing="1" w:after="100" w:afterAutospacing="1"/>
    </w:pPr>
  </w:style>
  <w:style w:type="paragraph" w:styleId="Header">
    <w:name w:val="header"/>
    <w:basedOn w:val="Normal"/>
    <w:link w:val="HeaderChar"/>
    <w:uiPriority w:val="99"/>
    <w:rsid w:val="00467919"/>
    <w:pPr>
      <w:tabs>
        <w:tab w:val="center" w:pos="4320"/>
        <w:tab w:val="right" w:pos="8640"/>
      </w:tabs>
    </w:pPr>
  </w:style>
  <w:style w:type="character" w:customStyle="1" w:styleId="HeaderChar">
    <w:name w:val="Header Char"/>
    <w:basedOn w:val="DefaultParagraphFont"/>
    <w:link w:val="Header"/>
    <w:uiPriority w:val="99"/>
    <w:rsid w:val="00467919"/>
    <w:rPr>
      <w:rFonts w:cs="Times New Roman"/>
      <w:sz w:val="24"/>
      <w:lang w:eastAsia="ja-JP"/>
    </w:rPr>
  </w:style>
  <w:style w:type="paragraph" w:styleId="Footer">
    <w:name w:val="footer"/>
    <w:basedOn w:val="Normal"/>
    <w:link w:val="FooterChar"/>
    <w:uiPriority w:val="99"/>
    <w:semiHidden/>
    <w:rsid w:val="00467919"/>
    <w:pPr>
      <w:tabs>
        <w:tab w:val="center" w:pos="4320"/>
        <w:tab w:val="right" w:pos="8640"/>
      </w:tabs>
    </w:pPr>
  </w:style>
  <w:style w:type="character" w:customStyle="1" w:styleId="FooterChar">
    <w:name w:val="Footer Char"/>
    <w:basedOn w:val="DefaultParagraphFont"/>
    <w:link w:val="Footer"/>
    <w:uiPriority w:val="99"/>
    <w:rsid w:val="00467919"/>
    <w:rPr>
      <w:rFonts w:cs="Times New Roman"/>
      <w:sz w:val="24"/>
      <w:lang w:eastAsia="ja-JP"/>
    </w:rPr>
  </w:style>
  <w:style w:type="character" w:styleId="PageNumber">
    <w:name w:val="page number"/>
    <w:basedOn w:val="DefaultParagraphFont"/>
    <w:uiPriority w:val="99"/>
    <w:rsid w:val="00F97D4F"/>
    <w:rPr>
      <w:rFonts w:cs="Times New Roman"/>
    </w:rPr>
  </w:style>
  <w:style w:type="paragraph" w:styleId="ListParagraph">
    <w:name w:val="List Paragraph"/>
    <w:basedOn w:val="Normal"/>
    <w:uiPriority w:val="99"/>
    <w:qFormat/>
    <w:rsid w:val="00FC22C1"/>
    <w:pPr>
      <w:ind w:left="720"/>
      <w:contextualSpacing/>
    </w:pPr>
  </w:style>
  <w:style w:type="character" w:styleId="CommentReference">
    <w:name w:val="annotation reference"/>
    <w:basedOn w:val="DefaultParagraphFont"/>
    <w:uiPriority w:val="99"/>
    <w:semiHidden/>
    <w:rsid w:val="00BF0F75"/>
    <w:rPr>
      <w:rFonts w:cs="Times New Roman"/>
      <w:sz w:val="18"/>
    </w:rPr>
  </w:style>
  <w:style w:type="paragraph" w:styleId="CommentText">
    <w:name w:val="annotation text"/>
    <w:basedOn w:val="Normal"/>
    <w:link w:val="CommentTextChar"/>
    <w:uiPriority w:val="99"/>
    <w:semiHidden/>
    <w:rsid w:val="00BF0F75"/>
  </w:style>
  <w:style w:type="character" w:customStyle="1" w:styleId="CommentTextChar">
    <w:name w:val="Comment Text Char"/>
    <w:basedOn w:val="DefaultParagraphFont"/>
    <w:link w:val="CommentText"/>
    <w:uiPriority w:val="99"/>
    <w:rsid w:val="00BF0F75"/>
    <w:rPr>
      <w:rFonts w:cs="Times New Roman"/>
      <w:lang w:eastAsia="ja-JP"/>
    </w:rPr>
  </w:style>
  <w:style w:type="paragraph" w:styleId="CommentSubject">
    <w:name w:val="annotation subject"/>
    <w:basedOn w:val="CommentText"/>
    <w:next w:val="CommentText"/>
    <w:link w:val="CommentSubjectChar"/>
    <w:uiPriority w:val="99"/>
    <w:semiHidden/>
    <w:rsid w:val="00BF0F75"/>
    <w:rPr>
      <w:b/>
      <w:bCs/>
      <w:sz w:val="20"/>
      <w:szCs w:val="20"/>
    </w:rPr>
  </w:style>
  <w:style w:type="character" w:customStyle="1" w:styleId="CommentSubjectChar">
    <w:name w:val="Comment Subject Char"/>
    <w:basedOn w:val="CommentTextChar"/>
    <w:link w:val="CommentSubject"/>
    <w:uiPriority w:val="99"/>
    <w:rsid w:val="00BF0F75"/>
    <w:rPr>
      <w:rFonts w:cs="Times New Roman"/>
      <w:b/>
      <w:bCs/>
      <w:sz w:val="20"/>
      <w:lang w:eastAsia="ja-JP"/>
    </w:rPr>
  </w:style>
  <w:style w:type="character" w:customStyle="1" w:styleId="gi">
    <w:name w:val="gi"/>
    <w:basedOn w:val="DefaultParagraphFont"/>
    <w:rsid w:val="00031D0E"/>
  </w:style>
  <w:style w:type="paragraph" w:styleId="Revision">
    <w:name w:val="Revision"/>
    <w:hidden/>
    <w:uiPriority w:val="99"/>
    <w:semiHidden/>
    <w:rsid w:val="003D0E2E"/>
    <w:rPr>
      <w:sz w:val="24"/>
      <w:szCs w:val="24"/>
      <w:lang w:eastAsia="ja-JP"/>
    </w:rPr>
  </w:style>
  <w:style w:type="character" w:customStyle="1" w:styleId="gd">
    <w:name w:val="gd"/>
    <w:basedOn w:val="DefaultParagraphFont"/>
    <w:rsid w:val="00491C2A"/>
  </w:style>
  <w:style w:type="character" w:styleId="UnresolvedMention">
    <w:name w:val="Unresolved Mention"/>
    <w:basedOn w:val="DefaultParagraphFont"/>
    <w:uiPriority w:val="99"/>
    <w:semiHidden/>
    <w:unhideWhenUsed/>
    <w:rsid w:val="00BC2F7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2">
    <w:name w:val="Grid Table 5 Dark Accent 2"/>
    <w:basedOn w:val="TableNormal"/>
    <w:uiPriority w:val="50"/>
    <w:rsid w:val="00400B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581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581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581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5816" w:themeFill="accent2"/>
      </w:tcPr>
    </w:tblStylePr>
    <w:tblStylePr w:type="band1Vert">
      <w:tblPr/>
      <w:tcPr>
        <w:shd w:val="clear" w:color="auto" w:fill="F4BA9B" w:themeFill="accent2" w:themeFillTint="66"/>
      </w:tcPr>
    </w:tblStylePr>
    <w:tblStylePr w:type="band1Horz">
      <w:tblPr/>
      <w:tcPr>
        <w:shd w:val="clear" w:color="auto" w:fill="F4BA9B" w:themeFill="accent2" w:themeFillTint="66"/>
      </w:tcPr>
    </w:tblStylePr>
  </w:style>
  <w:style w:type="table" w:styleId="ListTable3-Accent2">
    <w:name w:val="List Table 3 Accent 2"/>
    <w:basedOn w:val="TableNormal"/>
    <w:uiPriority w:val="48"/>
    <w:rsid w:val="00400B2B"/>
    <w:tblPr>
      <w:tblStyleRowBandSize w:val="1"/>
      <w:tblStyleColBandSize w:val="1"/>
      <w:tblBorders>
        <w:top w:val="single" w:sz="4" w:space="0" w:color="D55816" w:themeColor="accent2"/>
        <w:left w:val="single" w:sz="4" w:space="0" w:color="D55816" w:themeColor="accent2"/>
        <w:bottom w:val="single" w:sz="4" w:space="0" w:color="D55816" w:themeColor="accent2"/>
        <w:right w:val="single" w:sz="4" w:space="0" w:color="D55816" w:themeColor="accent2"/>
      </w:tblBorders>
    </w:tblPr>
    <w:tblStylePr w:type="firstRow">
      <w:rPr>
        <w:b/>
        <w:bCs/>
        <w:color w:val="FFFFFF" w:themeColor="background1"/>
      </w:rPr>
      <w:tblPr/>
      <w:tcPr>
        <w:shd w:val="clear" w:color="auto" w:fill="D55816" w:themeFill="accent2"/>
      </w:tcPr>
    </w:tblStylePr>
    <w:tblStylePr w:type="lastRow">
      <w:rPr>
        <w:b/>
        <w:bCs/>
      </w:rPr>
      <w:tblPr/>
      <w:tcPr>
        <w:tcBorders>
          <w:top w:val="double" w:sz="4" w:space="0" w:color="D5581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5816" w:themeColor="accent2"/>
          <w:right w:val="single" w:sz="4" w:space="0" w:color="D55816" w:themeColor="accent2"/>
        </w:tcBorders>
      </w:tcPr>
    </w:tblStylePr>
    <w:tblStylePr w:type="band1Horz">
      <w:tblPr/>
      <w:tcPr>
        <w:tcBorders>
          <w:top w:val="single" w:sz="4" w:space="0" w:color="D55816" w:themeColor="accent2"/>
          <w:bottom w:val="single" w:sz="4" w:space="0" w:color="D5581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5816" w:themeColor="accent2"/>
          <w:left w:val="nil"/>
        </w:tcBorders>
      </w:tcPr>
    </w:tblStylePr>
    <w:tblStylePr w:type="swCell">
      <w:tblPr/>
      <w:tcPr>
        <w:tcBorders>
          <w:top w:val="double" w:sz="4" w:space="0" w:color="D55816" w:themeColor="accent2"/>
          <w:right w:val="nil"/>
        </w:tcBorders>
      </w:tcPr>
    </w:tblStylePr>
  </w:style>
  <w:style w:type="table" w:styleId="ListTable5Dark-Accent2">
    <w:name w:val="List Table 5 Dark Accent 2"/>
    <w:basedOn w:val="TableNormal"/>
    <w:uiPriority w:val="50"/>
    <w:rsid w:val="00400B2B"/>
    <w:rPr>
      <w:color w:val="FFFFFF" w:themeColor="background1"/>
    </w:rPr>
    <w:tblPr>
      <w:tblStyleRowBandSize w:val="1"/>
      <w:tblStyleColBandSize w:val="1"/>
      <w:tblBorders>
        <w:top w:val="single" w:sz="24" w:space="0" w:color="D55816" w:themeColor="accent2"/>
        <w:left w:val="single" w:sz="24" w:space="0" w:color="D55816" w:themeColor="accent2"/>
        <w:bottom w:val="single" w:sz="24" w:space="0" w:color="D55816" w:themeColor="accent2"/>
        <w:right w:val="single" w:sz="24" w:space="0" w:color="D55816" w:themeColor="accent2"/>
      </w:tblBorders>
    </w:tblPr>
    <w:tcPr>
      <w:shd w:val="clear" w:color="auto" w:fill="D5581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00B2B"/>
    <w:rPr>
      <w:color w:val="FFFFFF" w:themeColor="background1"/>
    </w:rPr>
    <w:tblPr>
      <w:tblStyleRowBandSize w:val="1"/>
      <w:tblStyleColBandSize w:val="1"/>
      <w:tblBorders>
        <w:top w:val="single" w:sz="24" w:space="0" w:color="E19825" w:themeColor="accent3"/>
        <w:left w:val="single" w:sz="24" w:space="0" w:color="E19825" w:themeColor="accent3"/>
        <w:bottom w:val="single" w:sz="24" w:space="0" w:color="E19825" w:themeColor="accent3"/>
        <w:right w:val="single" w:sz="24" w:space="0" w:color="E19825" w:themeColor="accent3"/>
      </w:tblBorders>
    </w:tblPr>
    <w:tcPr>
      <w:shd w:val="clear" w:color="auto" w:fill="E198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00B2B"/>
    <w:rPr>
      <w:color w:val="FFFFFF" w:themeColor="background1"/>
    </w:rPr>
    <w:tblPr>
      <w:tblStyleRowBandSize w:val="1"/>
      <w:tblStyleColBandSize w:val="1"/>
      <w:tblBorders>
        <w:top w:val="single" w:sz="24" w:space="0" w:color="B27D49" w:themeColor="accent6"/>
        <w:left w:val="single" w:sz="24" w:space="0" w:color="B27D49" w:themeColor="accent6"/>
        <w:bottom w:val="single" w:sz="24" w:space="0" w:color="B27D49" w:themeColor="accent6"/>
        <w:right w:val="single" w:sz="24" w:space="0" w:color="B27D49" w:themeColor="accent6"/>
      </w:tblBorders>
    </w:tblPr>
    <w:tcPr>
      <w:shd w:val="clear" w:color="auto" w:fill="B27D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3">
    <w:name w:val="Grid Table 5 Dark Accent 3"/>
    <w:basedOn w:val="TableNormal"/>
    <w:uiPriority w:val="50"/>
    <w:rsid w:val="00400B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A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98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98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98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9825" w:themeFill="accent3"/>
      </w:tcPr>
    </w:tblStylePr>
    <w:tblStylePr w:type="band1Vert">
      <w:tblPr/>
      <w:tcPr>
        <w:shd w:val="clear" w:color="auto" w:fill="F3D5A7" w:themeFill="accent3" w:themeFillTint="66"/>
      </w:tcPr>
    </w:tblStylePr>
    <w:tblStylePr w:type="band1Horz">
      <w:tblPr/>
      <w:tcPr>
        <w:shd w:val="clear" w:color="auto" w:fill="F3D5A7" w:themeFill="accent3" w:themeFillTint="66"/>
      </w:tcPr>
    </w:tblStylePr>
  </w:style>
  <w:style w:type="table" w:styleId="GridTable4-Accent4">
    <w:name w:val="Grid Table 4 Accent 4"/>
    <w:basedOn w:val="TableNormal"/>
    <w:uiPriority w:val="49"/>
    <w:rsid w:val="00400B2B"/>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insideV w:val="nil"/>
        </w:tcBorders>
        <w:shd w:val="clear" w:color="auto" w:fill="B19C7D" w:themeFill="accent4"/>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5Dark">
    <w:name w:val="Grid Table 5 Dark"/>
    <w:basedOn w:val="TableNormal"/>
    <w:uiPriority w:val="50"/>
    <w:rsid w:val="00400B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00B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E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30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30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30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300F" w:themeFill="accent1"/>
      </w:tcPr>
    </w:tblStylePr>
    <w:tblStylePr w:type="band1Vert">
      <w:tblPr/>
      <w:tcPr>
        <w:shd w:val="clear" w:color="auto" w:fill="F49E86" w:themeFill="accent1" w:themeFillTint="66"/>
      </w:tcPr>
    </w:tblStylePr>
    <w:tblStylePr w:type="band1Horz">
      <w:tblPr/>
      <w:tcPr>
        <w:shd w:val="clear" w:color="auto" w:fill="F49E86" w:themeFill="accent1" w:themeFillTint="66"/>
      </w:tcPr>
    </w:tblStylePr>
  </w:style>
  <w:style w:type="table" w:styleId="PlainTable3">
    <w:name w:val="Plain Table 3"/>
    <w:basedOn w:val="TableNormal"/>
    <w:uiPriority w:val="99"/>
    <w:rsid w:val="00400B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5">
    <w:name w:val="Grid Table 4 Accent 5"/>
    <w:basedOn w:val="TableNormal"/>
    <w:uiPriority w:val="49"/>
    <w:rsid w:val="00400B2B"/>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insideV w:val="nil"/>
        </w:tcBorders>
        <w:shd w:val="clear" w:color="auto" w:fill="7F5F52" w:themeFill="accent5"/>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ColorfulGrid-Accent6">
    <w:name w:val="Colorful Grid Accent 6"/>
    <w:basedOn w:val="TableNormal"/>
    <w:uiPriority w:val="73"/>
    <w:rsid w:val="00400B2B"/>
    <w:rPr>
      <w:color w:val="000000" w:themeColor="text1"/>
    </w:rPr>
    <w:tblPr>
      <w:tblStyleRowBandSize w:val="1"/>
      <w:tblStyleColBandSize w:val="1"/>
      <w:tblBorders>
        <w:insideH w:val="single" w:sz="4" w:space="0" w:color="FFFFFF" w:themeColor="background1"/>
      </w:tblBorders>
    </w:tblPr>
    <w:tcPr>
      <w:shd w:val="clear" w:color="auto" w:fill="F0E4DA" w:themeFill="accent6" w:themeFillTint="33"/>
    </w:tcPr>
    <w:tblStylePr w:type="firstRow">
      <w:rPr>
        <w:b/>
        <w:bCs/>
      </w:rPr>
      <w:tblPr/>
      <w:tcPr>
        <w:shd w:val="clear" w:color="auto" w:fill="E1CAB5" w:themeFill="accent6" w:themeFillTint="66"/>
      </w:tcPr>
    </w:tblStylePr>
    <w:tblStylePr w:type="lastRow">
      <w:rPr>
        <w:b/>
        <w:bCs/>
        <w:color w:val="000000" w:themeColor="text1"/>
      </w:rPr>
      <w:tblPr/>
      <w:tcPr>
        <w:shd w:val="clear" w:color="auto" w:fill="E1CAB5" w:themeFill="accent6" w:themeFillTint="66"/>
      </w:tcPr>
    </w:tblStylePr>
    <w:tblStylePr w:type="firstCol">
      <w:rPr>
        <w:color w:val="FFFFFF" w:themeColor="background1"/>
      </w:rPr>
      <w:tblPr/>
      <w:tcPr>
        <w:shd w:val="clear" w:color="auto" w:fill="855D36" w:themeFill="accent6" w:themeFillShade="BF"/>
      </w:tcPr>
    </w:tblStylePr>
    <w:tblStylePr w:type="lastCol">
      <w:rPr>
        <w:color w:val="FFFFFF" w:themeColor="background1"/>
      </w:rPr>
      <w:tblPr/>
      <w:tcPr>
        <w:shd w:val="clear" w:color="auto" w:fill="855D36" w:themeFill="accent6" w:themeFillShade="BF"/>
      </w:tc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GridTable7Colorful-Accent1">
    <w:name w:val="Grid Table 7 Colorful Accent 1"/>
    <w:basedOn w:val="TableNormal"/>
    <w:uiPriority w:val="52"/>
    <w:rsid w:val="00705C9E"/>
    <w:rPr>
      <w:color w:val="7B230B" w:themeColor="accent1" w:themeShade="BF"/>
    </w:r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GridTable4-Accent2">
    <w:name w:val="Grid Table 4 Accent 2"/>
    <w:basedOn w:val="TableNormal"/>
    <w:uiPriority w:val="49"/>
    <w:rsid w:val="00705C9E"/>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5Dark-Accent4">
    <w:name w:val="Grid Table 5 Dark Accent 4"/>
    <w:basedOn w:val="TableNormal"/>
    <w:uiPriority w:val="50"/>
    <w:rsid w:val="00705C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B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9C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9C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9C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9C7D" w:themeFill="accent4"/>
      </w:tcPr>
    </w:tblStylePr>
    <w:tblStylePr w:type="band1Vert">
      <w:tblPr/>
      <w:tcPr>
        <w:shd w:val="clear" w:color="auto" w:fill="DFD7CA" w:themeFill="accent4" w:themeFillTint="66"/>
      </w:tcPr>
    </w:tblStylePr>
    <w:tblStylePr w:type="band1Horz">
      <w:tblPr/>
      <w:tcPr>
        <w:shd w:val="clear" w:color="auto" w:fill="DFD7CA" w:themeFill="accent4" w:themeFillTint="66"/>
      </w:tcPr>
    </w:tblStylePr>
  </w:style>
  <w:style w:type="table" w:styleId="MediumShading2-Accent1">
    <w:name w:val="Medium Shading 2 Accent 1"/>
    <w:basedOn w:val="TableNormal"/>
    <w:uiPriority w:val="64"/>
    <w:rsid w:val="00705C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30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300F" w:themeFill="accent1"/>
      </w:tcPr>
    </w:tblStylePr>
    <w:tblStylePr w:type="lastCol">
      <w:rPr>
        <w:b/>
        <w:bCs/>
        <w:color w:val="FFFFFF" w:themeColor="background1"/>
      </w:rPr>
      <w:tblPr/>
      <w:tcPr>
        <w:tcBorders>
          <w:left w:val="nil"/>
          <w:right w:val="nil"/>
          <w:insideH w:val="nil"/>
          <w:insideV w:val="nil"/>
        </w:tcBorders>
        <w:shd w:val="clear" w:color="auto" w:fill="A530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stTable5Dark-Accent5">
    <w:name w:val="List Table 5 Dark Accent 5"/>
    <w:basedOn w:val="TableNormal"/>
    <w:uiPriority w:val="50"/>
    <w:rsid w:val="003535D1"/>
    <w:rPr>
      <w:color w:val="FFFFFF" w:themeColor="background1"/>
    </w:rPr>
    <w:tblPr>
      <w:tblStyleRowBandSize w:val="1"/>
      <w:tblStyleColBandSize w:val="1"/>
      <w:tblBorders>
        <w:top w:val="single" w:sz="24" w:space="0" w:color="7F5F52" w:themeColor="accent5"/>
        <w:left w:val="single" w:sz="24" w:space="0" w:color="7F5F52" w:themeColor="accent5"/>
        <w:bottom w:val="single" w:sz="24" w:space="0" w:color="7F5F52" w:themeColor="accent5"/>
        <w:right w:val="single" w:sz="24" w:space="0" w:color="7F5F52" w:themeColor="accent5"/>
      </w:tblBorders>
    </w:tblPr>
    <w:tcPr>
      <w:shd w:val="clear" w:color="auto" w:fill="7F5F5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535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3535D1"/>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tblBorders>
    </w:tblPr>
    <w:tblStylePr w:type="firstRow">
      <w:rPr>
        <w:b/>
        <w:bCs/>
        <w:color w:val="FFFFFF" w:themeColor="background1"/>
      </w:rPr>
      <w:tblPr/>
      <w:tcPr>
        <w:shd w:val="clear" w:color="auto" w:fill="B27D49" w:themeFill="accent6"/>
      </w:tcPr>
    </w:tblStylePr>
    <w:tblStylePr w:type="lastRow">
      <w:rPr>
        <w:b/>
        <w:bCs/>
      </w:rPr>
      <w:tblPr/>
      <w:tcPr>
        <w:tcBorders>
          <w:top w:val="double" w:sz="4" w:space="0" w:color="B27D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7D49" w:themeColor="accent6"/>
          <w:right w:val="single" w:sz="4" w:space="0" w:color="B27D49" w:themeColor="accent6"/>
        </w:tcBorders>
      </w:tcPr>
    </w:tblStylePr>
    <w:tblStylePr w:type="band1Horz">
      <w:tblPr/>
      <w:tcPr>
        <w:tcBorders>
          <w:top w:val="single" w:sz="4" w:space="0" w:color="B27D49" w:themeColor="accent6"/>
          <w:bottom w:val="single" w:sz="4" w:space="0" w:color="B27D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7D49" w:themeColor="accent6"/>
          <w:left w:val="nil"/>
        </w:tcBorders>
      </w:tcPr>
    </w:tblStylePr>
    <w:tblStylePr w:type="swCell">
      <w:tblPr/>
      <w:tcPr>
        <w:tcBorders>
          <w:top w:val="double" w:sz="4" w:space="0" w:color="B27D49" w:themeColor="accent6"/>
          <w:right w:val="nil"/>
        </w:tcBorders>
      </w:tcPr>
    </w:tblStylePr>
  </w:style>
  <w:style w:type="table" w:styleId="ListTable4-Accent4">
    <w:name w:val="List Table 4 Accent 4"/>
    <w:basedOn w:val="TableNormal"/>
    <w:uiPriority w:val="49"/>
    <w:rsid w:val="00340239"/>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tcBorders>
        <w:shd w:val="clear" w:color="auto" w:fill="B19C7D" w:themeFill="accent4"/>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4830">
      <w:bodyDiv w:val="1"/>
      <w:marLeft w:val="0"/>
      <w:marRight w:val="0"/>
      <w:marTop w:val="0"/>
      <w:marBottom w:val="0"/>
      <w:divBdr>
        <w:top w:val="none" w:sz="0" w:space="0" w:color="auto"/>
        <w:left w:val="none" w:sz="0" w:space="0" w:color="auto"/>
        <w:bottom w:val="none" w:sz="0" w:space="0" w:color="auto"/>
        <w:right w:val="none" w:sz="0" w:space="0" w:color="auto"/>
      </w:divBdr>
    </w:div>
    <w:div w:id="100536445">
      <w:bodyDiv w:val="1"/>
      <w:marLeft w:val="0"/>
      <w:marRight w:val="0"/>
      <w:marTop w:val="0"/>
      <w:marBottom w:val="0"/>
      <w:divBdr>
        <w:top w:val="none" w:sz="0" w:space="0" w:color="auto"/>
        <w:left w:val="none" w:sz="0" w:space="0" w:color="auto"/>
        <w:bottom w:val="none" w:sz="0" w:space="0" w:color="auto"/>
        <w:right w:val="none" w:sz="0" w:space="0" w:color="auto"/>
      </w:divBdr>
      <w:divsChild>
        <w:div w:id="1478917903">
          <w:marLeft w:val="0"/>
          <w:marRight w:val="0"/>
          <w:marTop w:val="60"/>
          <w:marBottom w:val="0"/>
          <w:divBdr>
            <w:top w:val="none" w:sz="0" w:space="0" w:color="auto"/>
            <w:left w:val="none" w:sz="0" w:space="0" w:color="auto"/>
            <w:bottom w:val="none" w:sz="0" w:space="0" w:color="auto"/>
            <w:right w:val="none" w:sz="0" w:space="0" w:color="auto"/>
          </w:divBdr>
        </w:div>
        <w:div w:id="2071998513">
          <w:marLeft w:val="0"/>
          <w:marRight w:val="0"/>
          <w:marTop w:val="0"/>
          <w:marBottom w:val="60"/>
          <w:divBdr>
            <w:top w:val="none" w:sz="0" w:space="0" w:color="auto"/>
            <w:left w:val="none" w:sz="0" w:space="0" w:color="auto"/>
            <w:bottom w:val="none" w:sz="0" w:space="0" w:color="auto"/>
            <w:right w:val="none" w:sz="0" w:space="0" w:color="auto"/>
          </w:divBdr>
          <w:divsChild>
            <w:div w:id="1758936565">
              <w:marLeft w:val="0"/>
              <w:marRight w:val="0"/>
              <w:marTop w:val="0"/>
              <w:marBottom w:val="0"/>
              <w:divBdr>
                <w:top w:val="none" w:sz="0" w:space="0" w:color="auto"/>
                <w:left w:val="none" w:sz="0" w:space="0" w:color="auto"/>
                <w:bottom w:val="none" w:sz="0" w:space="0" w:color="auto"/>
                <w:right w:val="none" w:sz="0" w:space="0" w:color="auto"/>
              </w:divBdr>
              <w:divsChild>
                <w:div w:id="1071654093">
                  <w:marLeft w:val="0"/>
                  <w:marRight w:val="0"/>
                  <w:marTop w:val="0"/>
                  <w:marBottom w:val="0"/>
                  <w:divBdr>
                    <w:top w:val="none" w:sz="0" w:space="0" w:color="auto"/>
                    <w:left w:val="none" w:sz="0" w:space="0" w:color="auto"/>
                    <w:bottom w:val="none" w:sz="0" w:space="0" w:color="auto"/>
                    <w:right w:val="none" w:sz="0" w:space="0" w:color="auto"/>
                  </w:divBdr>
                  <w:divsChild>
                    <w:div w:id="563104859">
                      <w:marLeft w:val="0"/>
                      <w:marRight w:val="150"/>
                      <w:marTop w:val="30"/>
                      <w:marBottom w:val="0"/>
                      <w:divBdr>
                        <w:top w:val="none" w:sz="0" w:space="0" w:color="auto"/>
                        <w:left w:val="none" w:sz="0" w:space="0" w:color="auto"/>
                        <w:bottom w:val="none" w:sz="0" w:space="0" w:color="auto"/>
                        <w:right w:val="none" w:sz="0" w:space="0" w:color="auto"/>
                      </w:divBdr>
                    </w:div>
                    <w:div w:id="1059208928">
                      <w:marLeft w:val="0"/>
                      <w:marRight w:val="150"/>
                      <w:marTop w:val="30"/>
                      <w:marBottom w:val="0"/>
                      <w:divBdr>
                        <w:top w:val="none" w:sz="0" w:space="0" w:color="auto"/>
                        <w:left w:val="none" w:sz="0" w:space="0" w:color="auto"/>
                        <w:bottom w:val="none" w:sz="0" w:space="0" w:color="auto"/>
                        <w:right w:val="none" w:sz="0" w:space="0" w:color="auto"/>
                      </w:divBdr>
                    </w:div>
                    <w:div w:id="1534803333">
                      <w:marLeft w:val="0"/>
                      <w:marRight w:val="0"/>
                      <w:marTop w:val="0"/>
                      <w:marBottom w:val="0"/>
                      <w:divBdr>
                        <w:top w:val="none" w:sz="0" w:space="0" w:color="auto"/>
                        <w:left w:val="none" w:sz="0" w:space="0" w:color="auto"/>
                        <w:bottom w:val="none" w:sz="0" w:space="0" w:color="auto"/>
                        <w:right w:val="none" w:sz="0" w:space="0" w:color="auto"/>
                      </w:divBdr>
                    </w:div>
                    <w:div w:id="1782218120">
                      <w:marLeft w:val="0"/>
                      <w:marRight w:val="0"/>
                      <w:marTop w:val="0"/>
                      <w:marBottom w:val="0"/>
                      <w:divBdr>
                        <w:top w:val="none" w:sz="0" w:space="0" w:color="auto"/>
                        <w:left w:val="none" w:sz="0" w:space="0" w:color="auto"/>
                        <w:bottom w:val="none" w:sz="0" w:space="0" w:color="auto"/>
                        <w:right w:val="none" w:sz="0" w:space="0" w:color="auto"/>
                      </w:divBdr>
                    </w:div>
                  </w:divsChild>
                </w:div>
                <w:div w:id="16870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0040">
      <w:bodyDiv w:val="1"/>
      <w:marLeft w:val="0"/>
      <w:marRight w:val="0"/>
      <w:marTop w:val="0"/>
      <w:marBottom w:val="0"/>
      <w:divBdr>
        <w:top w:val="none" w:sz="0" w:space="0" w:color="auto"/>
        <w:left w:val="none" w:sz="0" w:space="0" w:color="auto"/>
        <w:bottom w:val="none" w:sz="0" w:space="0" w:color="auto"/>
        <w:right w:val="none" w:sz="0" w:space="0" w:color="auto"/>
      </w:divBdr>
    </w:div>
    <w:div w:id="210075066">
      <w:bodyDiv w:val="1"/>
      <w:marLeft w:val="0"/>
      <w:marRight w:val="0"/>
      <w:marTop w:val="0"/>
      <w:marBottom w:val="0"/>
      <w:divBdr>
        <w:top w:val="none" w:sz="0" w:space="0" w:color="auto"/>
        <w:left w:val="none" w:sz="0" w:space="0" w:color="auto"/>
        <w:bottom w:val="none" w:sz="0" w:space="0" w:color="auto"/>
        <w:right w:val="none" w:sz="0" w:space="0" w:color="auto"/>
      </w:divBdr>
    </w:div>
    <w:div w:id="315305887">
      <w:bodyDiv w:val="1"/>
      <w:marLeft w:val="0"/>
      <w:marRight w:val="0"/>
      <w:marTop w:val="0"/>
      <w:marBottom w:val="0"/>
      <w:divBdr>
        <w:top w:val="none" w:sz="0" w:space="0" w:color="auto"/>
        <w:left w:val="none" w:sz="0" w:space="0" w:color="auto"/>
        <w:bottom w:val="none" w:sz="0" w:space="0" w:color="auto"/>
        <w:right w:val="none" w:sz="0" w:space="0" w:color="auto"/>
      </w:divBdr>
      <w:divsChild>
        <w:div w:id="1573349494">
          <w:marLeft w:val="0"/>
          <w:marRight w:val="0"/>
          <w:marTop w:val="0"/>
          <w:marBottom w:val="0"/>
          <w:divBdr>
            <w:top w:val="none" w:sz="0" w:space="0" w:color="auto"/>
            <w:left w:val="none" w:sz="0" w:space="0" w:color="auto"/>
            <w:bottom w:val="none" w:sz="0" w:space="0" w:color="auto"/>
            <w:right w:val="none" w:sz="0" w:space="0" w:color="auto"/>
          </w:divBdr>
        </w:div>
      </w:divsChild>
    </w:div>
    <w:div w:id="378822819">
      <w:bodyDiv w:val="1"/>
      <w:marLeft w:val="0"/>
      <w:marRight w:val="0"/>
      <w:marTop w:val="0"/>
      <w:marBottom w:val="0"/>
      <w:divBdr>
        <w:top w:val="none" w:sz="0" w:space="0" w:color="auto"/>
        <w:left w:val="none" w:sz="0" w:space="0" w:color="auto"/>
        <w:bottom w:val="none" w:sz="0" w:space="0" w:color="auto"/>
        <w:right w:val="none" w:sz="0" w:space="0" w:color="auto"/>
      </w:divBdr>
    </w:div>
    <w:div w:id="528179081">
      <w:bodyDiv w:val="1"/>
      <w:marLeft w:val="0"/>
      <w:marRight w:val="0"/>
      <w:marTop w:val="0"/>
      <w:marBottom w:val="0"/>
      <w:divBdr>
        <w:top w:val="none" w:sz="0" w:space="0" w:color="auto"/>
        <w:left w:val="none" w:sz="0" w:space="0" w:color="auto"/>
        <w:bottom w:val="none" w:sz="0" w:space="0" w:color="auto"/>
        <w:right w:val="none" w:sz="0" w:space="0" w:color="auto"/>
      </w:divBdr>
    </w:div>
    <w:div w:id="581646910">
      <w:bodyDiv w:val="1"/>
      <w:marLeft w:val="0"/>
      <w:marRight w:val="0"/>
      <w:marTop w:val="0"/>
      <w:marBottom w:val="0"/>
      <w:divBdr>
        <w:top w:val="none" w:sz="0" w:space="0" w:color="auto"/>
        <w:left w:val="none" w:sz="0" w:space="0" w:color="auto"/>
        <w:bottom w:val="none" w:sz="0" w:space="0" w:color="auto"/>
        <w:right w:val="none" w:sz="0" w:space="0" w:color="auto"/>
      </w:divBdr>
    </w:div>
    <w:div w:id="791485490">
      <w:bodyDiv w:val="1"/>
      <w:marLeft w:val="0"/>
      <w:marRight w:val="0"/>
      <w:marTop w:val="0"/>
      <w:marBottom w:val="0"/>
      <w:divBdr>
        <w:top w:val="none" w:sz="0" w:space="0" w:color="auto"/>
        <w:left w:val="none" w:sz="0" w:space="0" w:color="auto"/>
        <w:bottom w:val="none" w:sz="0" w:space="0" w:color="auto"/>
        <w:right w:val="none" w:sz="0" w:space="0" w:color="auto"/>
      </w:divBdr>
    </w:div>
    <w:div w:id="809327788">
      <w:bodyDiv w:val="1"/>
      <w:marLeft w:val="0"/>
      <w:marRight w:val="0"/>
      <w:marTop w:val="0"/>
      <w:marBottom w:val="0"/>
      <w:divBdr>
        <w:top w:val="none" w:sz="0" w:space="0" w:color="auto"/>
        <w:left w:val="none" w:sz="0" w:space="0" w:color="auto"/>
        <w:bottom w:val="none" w:sz="0" w:space="0" w:color="auto"/>
        <w:right w:val="none" w:sz="0" w:space="0" w:color="auto"/>
      </w:divBdr>
    </w:div>
    <w:div w:id="874082046">
      <w:bodyDiv w:val="1"/>
      <w:marLeft w:val="0"/>
      <w:marRight w:val="0"/>
      <w:marTop w:val="0"/>
      <w:marBottom w:val="0"/>
      <w:divBdr>
        <w:top w:val="none" w:sz="0" w:space="0" w:color="auto"/>
        <w:left w:val="none" w:sz="0" w:space="0" w:color="auto"/>
        <w:bottom w:val="none" w:sz="0" w:space="0" w:color="auto"/>
        <w:right w:val="none" w:sz="0" w:space="0" w:color="auto"/>
      </w:divBdr>
      <w:divsChild>
        <w:div w:id="967315055">
          <w:marLeft w:val="0"/>
          <w:marRight w:val="0"/>
          <w:marTop w:val="0"/>
          <w:marBottom w:val="0"/>
          <w:divBdr>
            <w:top w:val="none" w:sz="0" w:space="0" w:color="auto"/>
            <w:left w:val="none" w:sz="0" w:space="0" w:color="auto"/>
            <w:bottom w:val="none" w:sz="0" w:space="0" w:color="auto"/>
            <w:right w:val="none" w:sz="0" w:space="0" w:color="auto"/>
          </w:divBdr>
        </w:div>
      </w:divsChild>
    </w:div>
    <w:div w:id="881936811">
      <w:bodyDiv w:val="1"/>
      <w:marLeft w:val="0"/>
      <w:marRight w:val="0"/>
      <w:marTop w:val="0"/>
      <w:marBottom w:val="0"/>
      <w:divBdr>
        <w:top w:val="none" w:sz="0" w:space="0" w:color="auto"/>
        <w:left w:val="none" w:sz="0" w:space="0" w:color="auto"/>
        <w:bottom w:val="none" w:sz="0" w:space="0" w:color="auto"/>
        <w:right w:val="none" w:sz="0" w:space="0" w:color="auto"/>
      </w:divBdr>
    </w:div>
    <w:div w:id="1008213072">
      <w:bodyDiv w:val="1"/>
      <w:marLeft w:val="0"/>
      <w:marRight w:val="0"/>
      <w:marTop w:val="0"/>
      <w:marBottom w:val="0"/>
      <w:divBdr>
        <w:top w:val="none" w:sz="0" w:space="0" w:color="auto"/>
        <w:left w:val="none" w:sz="0" w:space="0" w:color="auto"/>
        <w:bottom w:val="none" w:sz="0" w:space="0" w:color="auto"/>
        <w:right w:val="none" w:sz="0" w:space="0" w:color="auto"/>
      </w:divBdr>
      <w:divsChild>
        <w:div w:id="459998964">
          <w:marLeft w:val="0"/>
          <w:marRight w:val="0"/>
          <w:marTop w:val="0"/>
          <w:marBottom w:val="60"/>
          <w:divBdr>
            <w:top w:val="none" w:sz="0" w:space="0" w:color="auto"/>
            <w:left w:val="none" w:sz="0" w:space="0" w:color="auto"/>
            <w:bottom w:val="none" w:sz="0" w:space="0" w:color="auto"/>
            <w:right w:val="none" w:sz="0" w:space="0" w:color="auto"/>
          </w:divBdr>
          <w:divsChild>
            <w:div w:id="13266098">
              <w:marLeft w:val="0"/>
              <w:marRight w:val="0"/>
              <w:marTop w:val="0"/>
              <w:marBottom w:val="0"/>
              <w:divBdr>
                <w:top w:val="none" w:sz="0" w:space="0" w:color="auto"/>
                <w:left w:val="none" w:sz="0" w:space="0" w:color="auto"/>
                <w:bottom w:val="none" w:sz="0" w:space="0" w:color="auto"/>
                <w:right w:val="none" w:sz="0" w:space="0" w:color="auto"/>
              </w:divBdr>
              <w:divsChild>
                <w:div w:id="1615013657">
                  <w:marLeft w:val="0"/>
                  <w:marRight w:val="0"/>
                  <w:marTop w:val="0"/>
                  <w:marBottom w:val="0"/>
                  <w:divBdr>
                    <w:top w:val="none" w:sz="0" w:space="0" w:color="auto"/>
                    <w:left w:val="none" w:sz="0" w:space="0" w:color="auto"/>
                    <w:bottom w:val="none" w:sz="0" w:space="0" w:color="auto"/>
                    <w:right w:val="none" w:sz="0" w:space="0" w:color="auto"/>
                  </w:divBdr>
                  <w:divsChild>
                    <w:div w:id="13270097">
                      <w:marLeft w:val="0"/>
                      <w:marRight w:val="150"/>
                      <w:marTop w:val="30"/>
                      <w:marBottom w:val="0"/>
                      <w:divBdr>
                        <w:top w:val="none" w:sz="0" w:space="0" w:color="auto"/>
                        <w:left w:val="none" w:sz="0" w:space="0" w:color="auto"/>
                        <w:bottom w:val="none" w:sz="0" w:space="0" w:color="auto"/>
                        <w:right w:val="none" w:sz="0" w:space="0" w:color="auto"/>
                      </w:divBdr>
                    </w:div>
                    <w:div w:id="321274651">
                      <w:marLeft w:val="0"/>
                      <w:marRight w:val="0"/>
                      <w:marTop w:val="0"/>
                      <w:marBottom w:val="0"/>
                      <w:divBdr>
                        <w:top w:val="none" w:sz="0" w:space="0" w:color="auto"/>
                        <w:left w:val="none" w:sz="0" w:space="0" w:color="auto"/>
                        <w:bottom w:val="none" w:sz="0" w:space="0" w:color="auto"/>
                        <w:right w:val="none" w:sz="0" w:space="0" w:color="auto"/>
                      </w:divBdr>
                    </w:div>
                    <w:div w:id="1279679215">
                      <w:marLeft w:val="0"/>
                      <w:marRight w:val="150"/>
                      <w:marTop w:val="30"/>
                      <w:marBottom w:val="0"/>
                      <w:divBdr>
                        <w:top w:val="none" w:sz="0" w:space="0" w:color="auto"/>
                        <w:left w:val="none" w:sz="0" w:space="0" w:color="auto"/>
                        <w:bottom w:val="none" w:sz="0" w:space="0" w:color="auto"/>
                        <w:right w:val="none" w:sz="0" w:space="0" w:color="auto"/>
                      </w:divBdr>
                    </w:div>
                    <w:div w:id="1314984467">
                      <w:marLeft w:val="0"/>
                      <w:marRight w:val="0"/>
                      <w:marTop w:val="0"/>
                      <w:marBottom w:val="0"/>
                      <w:divBdr>
                        <w:top w:val="none" w:sz="0" w:space="0" w:color="auto"/>
                        <w:left w:val="none" w:sz="0" w:space="0" w:color="auto"/>
                        <w:bottom w:val="none" w:sz="0" w:space="0" w:color="auto"/>
                        <w:right w:val="none" w:sz="0" w:space="0" w:color="auto"/>
                      </w:divBdr>
                    </w:div>
                  </w:divsChild>
                </w:div>
                <w:div w:id="21295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818">
          <w:marLeft w:val="0"/>
          <w:marRight w:val="0"/>
          <w:marTop w:val="60"/>
          <w:marBottom w:val="0"/>
          <w:divBdr>
            <w:top w:val="none" w:sz="0" w:space="0" w:color="auto"/>
            <w:left w:val="none" w:sz="0" w:space="0" w:color="auto"/>
            <w:bottom w:val="none" w:sz="0" w:space="0" w:color="auto"/>
            <w:right w:val="none" w:sz="0" w:space="0" w:color="auto"/>
          </w:divBdr>
        </w:div>
      </w:divsChild>
    </w:div>
    <w:div w:id="1123575486">
      <w:bodyDiv w:val="1"/>
      <w:marLeft w:val="0"/>
      <w:marRight w:val="0"/>
      <w:marTop w:val="0"/>
      <w:marBottom w:val="0"/>
      <w:divBdr>
        <w:top w:val="none" w:sz="0" w:space="0" w:color="auto"/>
        <w:left w:val="none" w:sz="0" w:space="0" w:color="auto"/>
        <w:bottom w:val="none" w:sz="0" w:space="0" w:color="auto"/>
        <w:right w:val="none" w:sz="0" w:space="0" w:color="auto"/>
      </w:divBdr>
    </w:div>
    <w:div w:id="1209533936">
      <w:bodyDiv w:val="1"/>
      <w:marLeft w:val="0"/>
      <w:marRight w:val="0"/>
      <w:marTop w:val="0"/>
      <w:marBottom w:val="0"/>
      <w:divBdr>
        <w:top w:val="none" w:sz="0" w:space="0" w:color="auto"/>
        <w:left w:val="none" w:sz="0" w:space="0" w:color="auto"/>
        <w:bottom w:val="none" w:sz="0" w:space="0" w:color="auto"/>
        <w:right w:val="none" w:sz="0" w:space="0" w:color="auto"/>
      </w:divBdr>
      <w:divsChild>
        <w:div w:id="805048760">
          <w:marLeft w:val="0"/>
          <w:marRight w:val="0"/>
          <w:marTop w:val="0"/>
          <w:marBottom w:val="0"/>
          <w:divBdr>
            <w:top w:val="none" w:sz="0" w:space="0" w:color="auto"/>
            <w:left w:val="none" w:sz="0" w:space="0" w:color="auto"/>
            <w:bottom w:val="none" w:sz="0" w:space="0" w:color="auto"/>
            <w:right w:val="none" w:sz="0" w:space="0" w:color="auto"/>
          </w:divBdr>
        </w:div>
        <w:div w:id="1005061251">
          <w:marLeft w:val="0"/>
          <w:marRight w:val="0"/>
          <w:marTop w:val="0"/>
          <w:marBottom w:val="0"/>
          <w:divBdr>
            <w:top w:val="none" w:sz="0" w:space="0" w:color="auto"/>
            <w:left w:val="none" w:sz="0" w:space="0" w:color="auto"/>
            <w:bottom w:val="none" w:sz="0" w:space="0" w:color="auto"/>
            <w:right w:val="none" w:sz="0" w:space="0" w:color="auto"/>
          </w:divBdr>
        </w:div>
        <w:div w:id="1462068056">
          <w:marLeft w:val="0"/>
          <w:marRight w:val="0"/>
          <w:marTop w:val="0"/>
          <w:marBottom w:val="0"/>
          <w:divBdr>
            <w:top w:val="none" w:sz="0" w:space="0" w:color="auto"/>
            <w:left w:val="none" w:sz="0" w:space="0" w:color="auto"/>
            <w:bottom w:val="none" w:sz="0" w:space="0" w:color="auto"/>
            <w:right w:val="none" w:sz="0" w:space="0" w:color="auto"/>
          </w:divBdr>
        </w:div>
      </w:divsChild>
    </w:div>
    <w:div w:id="1237324356">
      <w:bodyDiv w:val="1"/>
      <w:marLeft w:val="0"/>
      <w:marRight w:val="0"/>
      <w:marTop w:val="0"/>
      <w:marBottom w:val="0"/>
      <w:divBdr>
        <w:top w:val="none" w:sz="0" w:space="0" w:color="auto"/>
        <w:left w:val="none" w:sz="0" w:space="0" w:color="auto"/>
        <w:bottom w:val="none" w:sz="0" w:space="0" w:color="auto"/>
        <w:right w:val="none" w:sz="0" w:space="0" w:color="auto"/>
      </w:divBdr>
    </w:div>
    <w:div w:id="1284387922">
      <w:bodyDiv w:val="1"/>
      <w:marLeft w:val="0"/>
      <w:marRight w:val="0"/>
      <w:marTop w:val="0"/>
      <w:marBottom w:val="0"/>
      <w:divBdr>
        <w:top w:val="none" w:sz="0" w:space="0" w:color="auto"/>
        <w:left w:val="none" w:sz="0" w:space="0" w:color="auto"/>
        <w:bottom w:val="none" w:sz="0" w:space="0" w:color="auto"/>
        <w:right w:val="none" w:sz="0" w:space="0" w:color="auto"/>
      </w:divBdr>
    </w:div>
    <w:div w:id="1298990133">
      <w:bodyDiv w:val="1"/>
      <w:marLeft w:val="0"/>
      <w:marRight w:val="0"/>
      <w:marTop w:val="0"/>
      <w:marBottom w:val="0"/>
      <w:divBdr>
        <w:top w:val="none" w:sz="0" w:space="0" w:color="auto"/>
        <w:left w:val="none" w:sz="0" w:space="0" w:color="auto"/>
        <w:bottom w:val="none" w:sz="0" w:space="0" w:color="auto"/>
        <w:right w:val="none" w:sz="0" w:space="0" w:color="auto"/>
      </w:divBdr>
    </w:div>
    <w:div w:id="1388411417">
      <w:bodyDiv w:val="1"/>
      <w:marLeft w:val="0"/>
      <w:marRight w:val="0"/>
      <w:marTop w:val="0"/>
      <w:marBottom w:val="0"/>
      <w:divBdr>
        <w:top w:val="none" w:sz="0" w:space="0" w:color="auto"/>
        <w:left w:val="none" w:sz="0" w:space="0" w:color="auto"/>
        <w:bottom w:val="none" w:sz="0" w:space="0" w:color="auto"/>
        <w:right w:val="none" w:sz="0" w:space="0" w:color="auto"/>
      </w:divBdr>
    </w:div>
    <w:div w:id="1405295624">
      <w:bodyDiv w:val="1"/>
      <w:marLeft w:val="0"/>
      <w:marRight w:val="0"/>
      <w:marTop w:val="0"/>
      <w:marBottom w:val="0"/>
      <w:divBdr>
        <w:top w:val="none" w:sz="0" w:space="0" w:color="auto"/>
        <w:left w:val="none" w:sz="0" w:space="0" w:color="auto"/>
        <w:bottom w:val="none" w:sz="0" w:space="0" w:color="auto"/>
        <w:right w:val="none" w:sz="0" w:space="0" w:color="auto"/>
      </w:divBdr>
    </w:div>
    <w:div w:id="1642996883">
      <w:bodyDiv w:val="1"/>
      <w:marLeft w:val="0"/>
      <w:marRight w:val="0"/>
      <w:marTop w:val="0"/>
      <w:marBottom w:val="0"/>
      <w:divBdr>
        <w:top w:val="none" w:sz="0" w:space="0" w:color="auto"/>
        <w:left w:val="none" w:sz="0" w:space="0" w:color="auto"/>
        <w:bottom w:val="none" w:sz="0" w:space="0" w:color="auto"/>
        <w:right w:val="none" w:sz="0" w:space="0" w:color="auto"/>
      </w:divBdr>
    </w:div>
    <w:div w:id="21231854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tran@noritz.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oritz.greenhousedigitalpr.com/cs-hawaii-correctional-facilit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ohn@greenhousedigitalpr.com" TargetMode="External"/><Relationship Id="rId4" Type="http://schemas.openxmlformats.org/officeDocument/2006/relationships/webSettings" Target="webSettings.xml"/><Relationship Id="rId9" Type="http://schemas.openxmlformats.org/officeDocument/2006/relationships/hyperlink" Target="http://www.noritz.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2CC1-731C-F04F-B412-E2ACFF9F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10216</Characters>
  <Application>Microsoft Office Word</Application>
  <DocSecurity>0</DocSecurity>
  <Lines>208</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2015-04-02T22:45:00Z</cp:lastPrinted>
  <dcterms:created xsi:type="dcterms:W3CDTF">2019-12-09T01:22:00Z</dcterms:created>
  <dcterms:modified xsi:type="dcterms:W3CDTF">2019-12-09T01:22:00Z</dcterms:modified>
  <cp:category/>
</cp:coreProperties>
</file>